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CF4BB" w14:textId="0665A2C5" w:rsidR="00895E7B" w:rsidRDefault="00895E7B" w:rsidP="00E645F5">
      <w:pPr>
        <w:jc w:val="center"/>
        <w:rPr>
          <w:rFonts w:ascii="Arial Negrita" w:hAnsi="Arial Negrita"/>
          <w:b/>
          <w:bCs/>
          <w:lang w:val="es-MX"/>
        </w:rPr>
      </w:pPr>
      <w:r w:rsidRPr="003C0955">
        <w:rPr>
          <w:noProof/>
          <w:color w:val="244061" w:themeColor="accent1" w:themeShade="80"/>
          <w:lang w:eastAsia="es-MX"/>
        </w:rPr>
        <mc:AlternateContent>
          <mc:Choice Requires="wps">
            <w:drawing>
              <wp:anchor distT="45720" distB="45720" distL="114300" distR="114300" simplePos="0" relativeHeight="251659264" behindDoc="0" locked="0" layoutInCell="1" allowOverlap="1" wp14:anchorId="625ED2B4" wp14:editId="1CE11BDC">
                <wp:simplePos x="0" y="0"/>
                <wp:positionH relativeFrom="margin">
                  <wp:posOffset>3057525</wp:posOffset>
                </wp:positionH>
                <wp:positionV relativeFrom="paragraph">
                  <wp:posOffset>0</wp:posOffset>
                </wp:positionV>
                <wp:extent cx="3336290" cy="343535"/>
                <wp:effectExtent l="0" t="0" r="0" b="0"/>
                <wp:wrapSquare wrapText="bothSides"/>
                <wp:docPr id="610586331" name="Cuadro de texto 61058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43535"/>
                        </a:xfrm>
                        <a:prstGeom prst="rect">
                          <a:avLst/>
                        </a:prstGeom>
                        <a:noFill/>
                        <a:ln w="9525">
                          <a:noFill/>
                          <a:miter lim="800000"/>
                          <a:headEnd/>
                          <a:tailEnd/>
                        </a:ln>
                      </wps:spPr>
                      <wps:txbx>
                        <w:txbxContent>
                          <w:p w14:paraId="2EDDAC39" w14:textId="04220D34" w:rsidR="00895E7B" w:rsidRDefault="00895E7B" w:rsidP="00895E7B">
                            <w:pPr>
                              <w:jc w:val="right"/>
                            </w:pPr>
                            <w:r w:rsidRPr="00B30160">
                              <w:rPr>
                                <w:rFonts w:ascii="Arial Negrita" w:hAnsi="Arial Negrita"/>
                                <w:color w:val="07BFBA"/>
                              </w:rPr>
                              <w:t xml:space="preserve">Próxima publicación: </w:t>
                            </w:r>
                            <w:r>
                              <w:rPr>
                                <w:rFonts w:ascii="Arial Negrita" w:hAnsi="Arial Negrita"/>
                                <w:b/>
                                <w:bCs/>
                                <w:color w:val="07BFBA"/>
                              </w:rPr>
                              <w:t>19</w:t>
                            </w:r>
                            <w:r w:rsidRPr="00B30160">
                              <w:rPr>
                                <w:rFonts w:ascii="Arial Negrita" w:hAnsi="Arial Negrita"/>
                                <w:b/>
                                <w:bCs/>
                                <w:color w:val="07BFBA"/>
                              </w:rPr>
                              <w:t xml:space="preserve"> de </w:t>
                            </w:r>
                            <w:r>
                              <w:rPr>
                                <w:rFonts w:ascii="Arial Negrita" w:hAnsi="Arial Negrita"/>
                                <w:b/>
                                <w:bCs/>
                                <w:color w:val="07BFBA"/>
                              </w:rPr>
                              <w:t>diciembre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5ED2B4" id="_x0000_t202" coordsize="21600,21600" o:spt="202" path="m,l,21600r21600,l21600,xe">
                <v:stroke joinstyle="miter"/>
                <v:path gradientshapeok="t" o:connecttype="rect"/>
              </v:shapetype>
              <v:shape id="Cuadro de texto 610586331" o:spid="_x0000_s1026" type="#_x0000_t202" style="position:absolute;left:0;text-align:left;margin-left:240.75pt;margin-top:0;width:262.7pt;height:27.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" filled="f" stroked="f">
                <v:textbox>
                  <w:txbxContent>
                    <w:p w14:paraId="2EDDAC39" w14:textId="04220D34" w:rsidR="00895E7B" w:rsidRDefault="00895E7B" w:rsidP="00895E7B">
                      <w:pPr>
                        <w:jc w:val="right"/>
                      </w:pPr>
                      <w:r w:rsidRPr="00B30160">
                        <w:rPr>
                          <w:rFonts w:ascii="Arial Negrita" w:hAnsi="Arial Negrita"/>
                          <w:color w:val="07BFBA"/>
                        </w:rPr>
                        <w:t xml:space="preserve">Próxima publicación: </w:t>
                      </w:r>
                      <w:r>
                        <w:rPr>
                          <w:rFonts w:ascii="Arial Negrita" w:hAnsi="Arial Negrita"/>
                          <w:b/>
                          <w:bCs/>
                          <w:color w:val="07BFBA"/>
                        </w:rPr>
                        <w:t>19</w:t>
                      </w:r>
                      <w:r w:rsidRPr="00B30160">
                        <w:rPr>
                          <w:rFonts w:ascii="Arial Negrita" w:hAnsi="Arial Negrita"/>
                          <w:b/>
                          <w:bCs/>
                          <w:color w:val="07BFBA"/>
                        </w:rPr>
                        <w:t xml:space="preserve"> de </w:t>
                      </w:r>
                      <w:r>
                        <w:rPr>
                          <w:rFonts w:ascii="Arial Negrita" w:hAnsi="Arial Negrita"/>
                          <w:b/>
                          <w:bCs/>
                          <w:color w:val="07BFBA"/>
                        </w:rPr>
                        <w:t>diciembre</w:t>
                      </w:r>
                    </w:p>
                  </w:txbxContent>
                </v:textbox>
                <w10:wrap type="square" anchorx="margin"/>
              </v:shape>
            </w:pict>
          </mc:Fallback>
        </mc:AlternateContent>
      </w:r>
    </w:p>
    <w:p w14:paraId="23777A39" w14:textId="6FA41FD2" w:rsidR="00895E7B" w:rsidRDefault="00895E7B" w:rsidP="00E645F5">
      <w:pPr>
        <w:jc w:val="center"/>
        <w:rPr>
          <w:rFonts w:ascii="Arial Negrita" w:hAnsi="Arial Negrita"/>
          <w:b/>
          <w:bCs/>
          <w:lang w:val="es-MX"/>
        </w:rPr>
      </w:pPr>
    </w:p>
    <w:p w14:paraId="2D4D67D5" w14:textId="63E7633F" w:rsidR="00895E7B" w:rsidRDefault="00895E7B" w:rsidP="00E645F5">
      <w:pPr>
        <w:jc w:val="center"/>
        <w:rPr>
          <w:rFonts w:ascii="Arial Negrita" w:hAnsi="Arial Negrita"/>
          <w:b/>
          <w:bCs/>
          <w:lang w:val="es-MX"/>
        </w:rPr>
      </w:pPr>
    </w:p>
    <w:p w14:paraId="503DA98F" w14:textId="4F0F0243" w:rsidR="005C2BF1" w:rsidRPr="00895E7B" w:rsidRDefault="00FF5EF2" w:rsidP="00E645F5">
      <w:pPr>
        <w:jc w:val="center"/>
        <w:rPr>
          <w:rFonts w:ascii="Arial Negrita" w:hAnsi="Arial Negrita"/>
          <w:b/>
          <w:bCs/>
          <w:lang w:val="es-MX"/>
        </w:rPr>
      </w:pPr>
      <w:r w:rsidRPr="00895E7B">
        <w:rPr>
          <w:rFonts w:ascii="Arial Negrita" w:hAnsi="Arial Negrita"/>
          <w:b/>
          <w:bCs/>
          <w:lang w:val="es-MX"/>
        </w:rPr>
        <w:t>INDICADOR OPORTUNO DE LA ACTIVIDAD ECONÓMICA</w:t>
      </w:r>
      <w:r w:rsidR="00895E7B">
        <w:rPr>
          <w:rFonts w:ascii="Arial Negrita" w:hAnsi="Arial Negrita"/>
          <w:b/>
          <w:bCs/>
          <w:lang w:val="es-MX"/>
        </w:rPr>
        <w:t xml:space="preserve"> (IOAE)</w:t>
      </w:r>
    </w:p>
    <w:p w14:paraId="689EB301" w14:textId="3AD15A3F" w:rsidR="0082401B" w:rsidRPr="000104ED" w:rsidRDefault="00B23C9D" w:rsidP="0082401B">
      <w:pPr>
        <w:jc w:val="center"/>
        <w:rPr>
          <w:b/>
          <w:lang w:val="es-MX"/>
        </w:rPr>
      </w:pPr>
      <w:r>
        <w:rPr>
          <w:bCs/>
          <w:lang w:val="es-MX"/>
        </w:rPr>
        <w:t>Octubre</w:t>
      </w:r>
      <w:r w:rsidR="00811E33" w:rsidRPr="000104ED">
        <w:rPr>
          <w:b/>
          <w:lang w:val="es-MX"/>
        </w:rPr>
        <w:t xml:space="preserve"> </w:t>
      </w:r>
      <w:r w:rsidR="00811E33" w:rsidRPr="000104ED">
        <w:rPr>
          <w:bCs/>
          <w:lang w:val="es-MX"/>
        </w:rPr>
        <w:t xml:space="preserve">de </w:t>
      </w:r>
      <w:r w:rsidR="00594AE4" w:rsidRPr="000104ED">
        <w:rPr>
          <w:bCs/>
          <w:lang w:val="es-MX"/>
        </w:rPr>
        <w:t>202</w:t>
      </w:r>
      <w:r w:rsidR="00A32474" w:rsidRPr="000104ED">
        <w:rPr>
          <w:bCs/>
          <w:lang w:val="es-MX"/>
        </w:rPr>
        <w:t>4</w:t>
      </w:r>
    </w:p>
    <w:p w14:paraId="482FB516" w14:textId="10380518" w:rsidR="008E7997" w:rsidRPr="00895E7B" w:rsidRDefault="008E7997" w:rsidP="00895E7B">
      <w:pPr>
        <w:pStyle w:val="bullet"/>
        <w:keepLines w:val="0"/>
        <w:spacing w:after="0"/>
        <w:ind w:left="0" w:right="51" w:firstLine="0"/>
        <w:rPr>
          <w:rFonts w:cs="Arial"/>
          <w:b w:val="0"/>
          <w:color w:val="auto"/>
          <w:spacing w:val="0"/>
          <w:szCs w:val="22"/>
        </w:rPr>
      </w:pPr>
      <w:r w:rsidRPr="00895E7B">
        <w:rPr>
          <w:rFonts w:cs="Arial"/>
          <w:b w:val="0"/>
          <w:color w:val="auto"/>
          <w:spacing w:val="0"/>
          <w:szCs w:val="22"/>
        </w:rPr>
        <w:t>El</w:t>
      </w:r>
      <w:r w:rsidR="00895E7B">
        <w:rPr>
          <w:rFonts w:cs="Arial"/>
          <w:b w:val="0"/>
          <w:color w:val="auto"/>
          <w:spacing w:val="0"/>
          <w:szCs w:val="22"/>
        </w:rPr>
        <w:t xml:space="preserve"> </w:t>
      </w:r>
      <w:r w:rsidR="00895E7B" w:rsidRPr="00895E7B">
        <w:rPr>
          <w:rFonts w:cs="Arial"/>
          <w:b w:val="0"/>
          <w:color w:val="auto"/>
          <w:spacing w:val="0"/>
          <w:szCs w:val="22"/>
          <w:lang w:val="es-ES_tradnl"/>
        </w:rPr>
        <w:t>Instituto Nacional de Estadística y Geografía</w:t>
      </w:r>
      <w:r w:rsidRPr="00895E7B">
        <w:rPr>
          <w:rFonts w:cs="Arial"/>
          <w:b w:val="0"/>
          <w:color w:val="auto"/>
          <w:spacing w:val="0"/>
          <w:szCs w:val="22"/>
        </w:rPr>
        <w:t xml:space="preserve"> </w:t>
      </w:r>
      <w:r w:rsidR="00895E7B">
        <w:rPr>
          <w:rFonts w:cs="Arial"/>
          <w:b w:val="0"/>
          <w:color w:val="auto"/>
          <w:spacing w:val="0"/>
          <w:szCs w:val="22"/>
        </w:rPr>
        <w:t>(</w:t>
      </w:r>
      <w:r w:rsidR="00A76C1A" w:rsidRPr="00895E7B">
        <w:rPr>
          <w:rFonts w:cs="Arial"/>
          <w:b w:val="0"/>
          <w:smallCaps/>
          <w:color w:val="auto"/>
          <w:spacing w:val="0"/>
          <w:szCs w:val="22"/>
        </w:rPr>
        <w:t>inegi</w:t>
      </w:r>
      <w:r w:rsidR="00895E7B" w:rsidRPr="00895E7B">
        <w:rPr>
          <w:rFonts w:cs="Arial"/>
          <w:b w:val="0"/>
          <w:smallCaps/>
          <w:color w:val="auto"/>
          <w:spacing w:val="0"/>
          <w:szCs w:val="22"/>
        </w:rPr>
        <w:t>)</w:t>
      </w:r>
      <w:r w:rsidRPr="00895E7B">
        <w:rPr>
          <w:rFonts w:cs="Arial"/>
          <w:b w:val="0"/>
          <w:color w:val="auto"/>
          <w:spacing w:val="0"/>
          <w:szCs w:val="22"/>
        </w:rPr>
        <w:t xml:space="preserve"> presenta los resultados del Indicador Oportuno de la Actividad Económica (</w:t>
      </w:r>
      <w:r w:rsidRPr="00895E7B">
        <w:rPr>
          <w:rFonts w:cs="Arial"/>
          <w:b w:val="0"/>
          <w:smallCaps/>
          <w:color w:val="auto"/>
          <w:spacing w:val="0"/>
          <w:szCs w:val="22"/>
        </w:rPr>
        <w:t>ioae</w:t>
      </w:r>
      <w:r w:rsidRPr="00895E7B">
        <w:rPr>
          <w:rFonts w:cs="Arial"/>
          <w:b w:val="0"/>
          <w:color w:val="auto"/>
          <w:spacing w:val="0"/>
          <w:szCs w:val="22"/>
        </w:rPr>
        <w:t>)</w:t>
      </w:r>
      <w:r w:rsidR="0096254A" w:rsidRPr="00895E7B">
        <w:rPr>
          <w:rFonts w:cs="Arial"/>
          <w:b w:val="0"/>
          <w:color w:val="auto"/>
          <w:spacing w:val="0"/>
          <w:szCs w:val="22"/>
        </w:rPr>
        <w:t>. Este</w:t>
      </w:r>
      <w:r w:rsidRPr="00895E7B">
        <w:rPr>
          <w:rFonts w:cs="Arial"/>
          <w:b w:val="0"/>
          <w:color w:val="auto"/>
          <w:spacing w:val="0"/>
          <w:szCs w:val="22"/>
        </w:rPr>
        <w:t xml:space="preserve"> permite contar con estimaciones econométricas oportunas sobre la evolución del Indicador Global de la Actividad Económica (</w:t>
      </w:r>
      <w:r w:rsidRPr="00895E7B">
        <w:rPr>
          <w:rFonts w:cs="Arial"/>
          <w:b w:val="0"/>
          <w:smallCaps/>
          <w:color w:val="auto"/>
          <w:spacing w:val="0"/>
          <w:szCs w:val="22"/>
        </w:rPr>
        <w:t>igae</w:t>
      </w:r>
      <w:r w:rsidRPr="00895E7B">
        <w:rPr>
          <w:rFonts w:cs="Arial"/>
          <w:b w:val="0"/>
          <w:color w:val="auto"/>
          <w:spacing w:val="0"/>
          <w:szCs w:val="22"/>
        </w:rPr>
        <w:t xml:space="preserve">). </w:t>
      </w:r>
    </w:p>
    <w:p w14:paraId="1BF1BFEB" w14:textId="7E1CD59B" w:rsidR="002A526B" w:rsidRPr="00895E7B" w:rsidRDefault="002A526B" w:rsidP="00895E7B">
      <w:pPr>
        <w:pStyle w:val="bullet"/>
        <w:keepLines w:val="0"/>
        <w:spacing w:after="0"/>
        <w:ind w:left="0" w:right="51" w:firstLine="0"/>
        <w:rPr>
          <w:rFonts w:cs="Arial"/>
          <w:b w:val="0"/>
          <w:color w:val="auto"/>
          <w:spacing w:val="0"/>
          <w:szCs w:val="22"/>
        </w:rPr>
      </w:pPr>
      <w:r w:rsidRPr="00895E7B">
        <w:rPr>
          <w:rFonts w:cs="Arial"/>
          <w:b w:val="0"/>
          <w:color w:val="auto"/>
          <w:spacing w:val="0"/>
          <w:szCs w:val="22"/>
        </w:rPr>
        <w:t xml:space="preserve">En </w:t>
      </w:r>
      <w:r w:rsidR="00B23C9D" w:rsidRPr="00895E7B">
        <w:rPr>
          <w:rFonts w:cs="Arial"/>
          <w:b w:val="0"/>
          <w:color w:val="auto"/>
          <w:spacing w:val="0"/>
          <w:szCs w:val="22"/>
        </w:rPr>
        <w:t>octubre</w:t>
      </w:r>
      <w:r w:rsidR="008F7929" w:rsidRPr="00895E7B">
        <w:rPr>
          <w:rFonts w:cs="Arial"/>
          <w:b w:val="0"/>
          <w:color w:val="auto"/>
          <w:spacing w:val="0"/>
          <w:szCs w:val="22"/>
        </w:rPr>
        <w:t xml:space="preserve"> </w:t>
      </w:r>
      <w:r w:rsidRPr="00895E7B">
        <w:rPr>
          <w:rFonts w:cs="Arial"/>
          <w:b w:val="0"/>
          <w:color w:val="auto"/>
          <w:spacing w:val="0"/>
          <w:szCs w:val="22"/>
        </w:rPr>
        <w:t>de 202</w:t>
      </w:r>
      <w:r w:rsidR="0019343E" w:rsidRPr="00895E7B">
        <w:rPr>
          <w:rFonts w:cs="Arial"/>
          <w:b w:val="0"/>
          <w:color w:val="auto"/>
          <w:spacing w:val="0"/>
          <w:szCs w:val="22"/>
        </w:rPr>
        <w:t>4</w:t>
      </w:r>
      <w:r w:rsidRPr="00895E7B">
        <w:rPr>
          <w:rFonts w:cs="Arial"/>
          <w:b w:val="0"/>
          <w:color w:val="auto"/>
          <w:spacing w:val="0"/>
          <w:szCs w:val="22"/>
        </w:rPr>
        <w:t xml:space="preserve"> y a tasa anual, el </w:t>
      </w:r>
      <w:r w:rsidR="008E7997" w:rsidRPr="00895E7B">
        <w:rPr>
          <w:rFonts w:cs="Arial"/>
          <w:b w:val="0"/>
          <w:smallCaps/>
          <w:color w:val="auto"/>
          <w:spacing w:val="0"/>
          <w:szCs w:val="22"/>
        </w:rPr>
        <w:t>ioae</w:t>
      </w:r>
      <w:r w:rsidRPr="00895E7B">
        <w:rPr>
          <w:rFonts w:cs="Arial"/>
          <w:b w:val="0"/>
          <w:color w:val="auto"/>
          <w:spacing w:val="0"/>
          <w:szCs w:val="22"/>
        </w:rPr>
        <w:t xml:space="preserve"> anticipa un </w:t>
      </w:r>
      <w:r w:rsidR="00E1355D" w:rsidRPr="00895E7B">
        <w:rPr>
          <w:rFonts w:cs="Arial"/>
          <w:b w:val="0"/>
          <w:color w:val="auto"/>
          <w:spacing w:val="0"/>
          <w:szCs w:val="22"/>
        </w:rPr>
        <w:t>aumento</w:t>
      </w:r>
      <w:r w:rsidRPr="00895E7B">
        <w:rPr>
          <w:rFonts w:cs="Arial"/>
          <w:b w:val="0"/>
          <w:color w:val="auto"/>
          <w:spacing w:val="0"/>
          <w:szCs w:val="22"/>
        </w:rPr>
        <w:t xml:space="preserve"> de</w:t>
      </w:r>
      <w:r w:rsidR="00416B47" w:rsidRPr="00895E7B">
        <w:rPr>
          <w:rFonts w:cs="Arial"/>
          <w:b w:val="0"/>
          <w:color w:val="auto"/>
          <w:spacing w:val="0"/>
          <w:szCs w:val="22"/>
        </w:rPr>
        <w:t xml:space="preserve"> </w:t>
      </w:r>
      <w:r w:rsidR="00A775C5" w:rsidRPr="00895E7B">
        <w:rPr>
          <w:rFonts w:cs="Arial"/>
          <w:b w:val="0"/>
          <w:color w:val="auto"/>
          <w:spacing w:val="0"/>
          <w:szCs w:val="22"/>
        </w:rPr>
        <w:t>0.</w:t>
      </w:r>
      <w:r w:rsidR="00245045" w:rsidRPr="00895E7B">
        <w:rPr>
          <w:rFonts w:cs="Arial"/>
          <w:b w:val="0"/>
          <w:color w:val="auto"/>
          <w:spacing w:val="0"/>
          <w:szCs w:val="22"/>
        </w:rPr>
        <w:t>4</w:t>
      </w:r>
      <w:r w:rsidR="00F40EEA" w:rsidRPr="00895E7B">
        <w:rPr>
          <w:rFonts w:cs="Arial"/>
          <w:b w:val="0"/>
          <w:color w:val="auto"/>
          <w:spacing w:val="0"/>
          <w:szCs w:val="22"/>
        </w:rPr>
        <w:t> </w:t>
      </w:r>
      <w:r w:rsidR="00416B47" w:rsidRPr="00895E7B">
        <w:rPr>
          <w:rFonts w:cs="Arial"/>
          <w:b w:val="0"/>
          <w:color w:val="auto"/>
          <w:spacing w:val="0"/>
          <w:szCs w:val="22"/>
        </w:rPr>
        <w:t xml:space="preserve">% del </w:t>
      </w:r>
      <w:r w:rsidR="008E7997" w:rsidRPr="00895E7B">
        <w:rPr>
          <w:rFonts w:cs="Arial"/>
          <w:b w:val="0"/>
          <w:smallCaps/>
          <w:color w:val="auto"/>
          <w:spacing w:val="0"/>
          <w:szCs w:val="22"/>
        </w:rPr>
        <w:t>igae</w:t>
      </w:r>
      <w:r w:rsidR="00416B47" w:rsidRPr="00895E7B">
        <w:rPr>
          <w:rFonts w:cs="Arial"/>
          <w:b w:val="0"/>
          <w:color w:val="auto"/>
          <w:spacing w:val="0"/>
          <w:szCs w:val="22"/>
        </w:rPr>
        <w:t>.</w:t>
      </w:r>
    </w:p>
    <w:p w14:paraId="559A1AD5" w14:textId="7A9B09F1" w:rsidR="0019343E" w:rsidRPr="00895E7B" w:rsidRDefault="00A90756" w:rsidP="00895E7B">
      <w:pPr>
        <w:pStyle w:val="bullet"/>
        <w:keepLines w:val="0"/>
        <w:spacing w:after="0"/>
        <w:ind w:left="0" w:right="51" w:firstLine="0"/>
        <w:rPr>
          <w:rFonts w:cs="Arial"/>
          <w:b w:val="0"/>
          <w:color w:val="auto"/>
          <w:spacing w:val="0"/>
          <w:szCs w:val="22"/>
        </w:rPr>
      </w:pPr>
      <w:r w:rsidRPr="00895E7B">
        <w:rPr>
          <w:rFonts w:cs="Arial"/>
          <w:b w:val="0"/>
          <w:color w:val="auto"/>
          <w:spacing w:val="0"/>
          <w:szCs w:val="22"/>
        </w:rPr>
        <w:t>Se espera</w:t>
      </w:r>
      <w:r w:rsidR="00F96419" w:rsidRPr="00895E7B">
        <w:rPr>
          <w:rFonts w:cs="Arial"/>
          <w:b w:val="0"/>
          <w:color w:val="auto"/>
          <w:spacing w:val="0"/>
          <w:szCs w:val="22"/>
        </w:rPr>
        <w:t xml:space="preserve"> u</w:t>
      </w:r>
      <w:r w:rsidR="00110559" w:rsidRPr="00895E7B">
        <w:rPr>
          <w:rFonts w:cs="Arial"/>
          <w:b w:val="0"/>
          <w:color w:val="auto"/>
          <w:spacing w:val="0"/>
          <w:szCs w:val="22"/>
        </w:rPr>
        <w:t>n</w:t>
      </w:r>
      <w:r w:rsidR="00A775C5" w:rsidRPr="00895E7B">
        <w:rPr>
          <w:rFonts w:cs="Arial"/>
          <w:b w:val="0"/>
          <w:color w:val="auto"/>
          <w:spacing w:val="0"/>
          <w:szCs w:val="22"/>
        </w:rPr>
        <w:t xml:space="preserve"> </w:t>
      </w:r>
      <w:r w:rsidR="00E1355D" w:rsidRPr="00895E7B">
        <w:rPr>
          <w:rFonts w:cs="Arial"/>
          <w:b w:val="0"/>
          <w:color w:val="auto"/>
          <w:spacing w:val="0"/>
          <w:szCs w:val="22"/>
        </w:rPr>
        <w:t>descenso</w:t>
      </w:r>
      <w:r w:rsidR="00A775C5" w:rsidRPr="00895E7B">
        <w:rPr>
          <w:rFonts w:cs="Arial"/>
          <w:b w:val="0"/>
          <w:color w:val="auto"/>
          <w:spacing w:val="0"/>
          <w:szCs w:val="22"/>
        </w:rPr>
        <w:t xml:space="preserve"> </w:t>
      </w:r>
      <w:r w:rsidR="0019343E" w:rsidRPr="00895E7B">
        <w:rPr>
          <w:rFonts w:cs="Arial"/>
          <w:b w:val="0"/>
          <w:color w:val="auto"/>
          <w:spacing w:val="0"/>
          <w:szCs w:val="22"/>
        </w:rPr>
        <w:t>anua</w:t>
      </w:r>
      <w:r w:rsidR="00083AC1" w:rsidRPr="00895E7B">
        <w:rPr>
          <w:rFonts w:cs="Arial"/>
          <w:b w:val="0"/>
          <w:color w:val="auto"/>
          <w:spacing w:val="0"/>
          <w:szCs w:val="22"/>
        </w:rPr>
        <w:t>l</w:t>
      </w:r>
      <w:r w:rsidR="008F7929" w:rsidRPr="00895E7B">
        <w:rPr>
          <w:rFonts w:cs="Arial"/>
          <w:b w:val="0"/>
          <w:color w:val="auto"/>
          <w:spacing w:val="0"/>
          <w:szCs w:val="22"/>
        </w:rPr>
        <w:t xml:space="preserve"> de </w:t>
      </w:r>
      <w:r w:rsidR="00245045" w:rsidRPr="00895E7B">
        <w:rPr>
          <w:rFonts w:cs="Arial"/>
          <w:b w:val="0"/>
          <w:color w:val="auto"/>
          <w:spacing w:val="0"/>
          <w:szCs w:val="22"/>
        </w:rPr>
        <w:t>1.3</w:t>
      </w:r>
      <w:r w:rsidR="008F7929" w:rsidRPr="00895E7B">
        <w:rPr>
          <w:rFonts w:cs="Arial"/>
          <w:b w:val="0"/>
          <w:color w:val="auto"/>
          <w:spacing w:val="0"/>
          <w:szCs w:val="22"/>
        </w:rPr>
        <w:t xml:space="preserve"> % </w:t>
      </w:r>
      <w:r w:rsidR="00F96419" w:rsidRPr="00895E7B">
        <w:rPr>
          <w:rFonts w:cs="Arial"/>
          <w:b w:val="0"/>
          <w:color w:val="auto"/>
          <w:spacing w:val="0"/>
          <w:szCs w:val="22"/>
        </w:rPr>
        <w:t>en</w:t>
      </w:r>
      <w:r w:rsidR="0019343E" w:rsidRPr="00895E7B">
        <w:rPr>
          <w:rFonts w:cs="Arial"/>
          <w:b w:val="0"/>
          <w:color w:val="auto"/>
          <w:spacing w:val="0"/>
          <w:szCs w:val="22"/>
        </w:rPr>
        <w:t xml:space="preserve"> las actividades secundarias</w:t>
      </w:r>
      <w:r w:rsidR="00A775C5" w:rsidRPr="00895E7B">
        <w:rPr>
          <w:rFonts w:cs="Arial"/>
          <w:b w:val="0"/>
          <w:color w:val="auto"/>
          <w:spacing w:val="0"/>
          <w:szCs w:val="22"/>
        </w:rPr>
        <w:t xml:space="preserve"> </w:t>
      </w:r>
      <w:r w:rsidR="0019343E" w:rsidRPr="00895E7B">
        <w:rPr>
          <w:rFonts w:cs="Arial"/>
          <w:b w:val="0"/>
          <w:color w:val="auto"/>
          <w:spacing w:val="0"/>
          <w:szCs w:val="22"/>
        </w:rPr>
        <w:t xml:space="preserve">y </w:t>
      </w:r>
      <w:r w:rsidR="0002097D" w:rsidRPr="00895E7B">
        <w:rPr>
          <w:rFonts w:cs="Arial"/>
          <w:b w:val="0"/>
          <w:color w:val="auto"/>
          <w:spacing w:val="0"/>
          <w:szCs w:val="22"/>
        </w:rPr>
        <w:t xml:space="preserve">un incremento de 1.1 % </w:t>
      </w:r>
      <w:r w:rsidR="00F96419" w:rsidRPr="00895E7B">
        <w:rPr>
          <w:rFonts w:cs="Arial"/>
          <w:b w:val="0"/>
          <w:color w:val="auto"/>
          <w:spacing w:val="0"/>
          <w:szCs w:val="22"/>
        </w:rPr>
        <w:t>en</w:t>
      </w:r>
      <w:r w:rsidR="0019343E" w:rsidRPr="00895E7B">
        <w:rPr>
          <w:rFonts w:cs="Arial"/>
          <w:b w:val="0"/>
          <w:color w:val="auto"/>
          <w:spacing w:val="0"/>
          <w:szCs w:val="22"/>
        </w:rPr>
        <w:t xml:space="preserve"> las terciarias</w:t>
      </w:r>
      <w:r w:rsidR="0002097D" w:rsidRPr="00895E7B">
        <w:rPr>
          <w:rFonts w:cs="Arial"/>
          <w:b w:val="0"/>
          <w:color w:val="auto"/>
          <w:spacing w:val="0"/>
          <w:szCs w:val="22"/>
        </w:rPr>
        <w:t>,</w:t>
      </w:r>
      <w:r w:rsidR="00A775C5" w:rsidRPr="00895E7B">
        <w:rPr>
          <w:rFonts w:cs="Arial"/>
          <w:b w:val="0"/>
          <w:color w:val="auto"/>
          <w:spacing w:val="0"/>
          <w:szCs w:val="22"/>
        </w:rPr>
        <w:t xml:space="preserve"> </w:t>
      </w:r>
      <w:r w:rsidR="0019343E" w:rsidRPr="00895E7B">
        <w:rPr>
          <w:rFonts w:cs="Arial"/>
          <w:b w:val="0"/>
          <w:color w:val="auto"/>
          <w:spacing w:val="0"/>
          <w:szCs w:val="22"/>
        </w:rPr>
        <w:t xml:space="preserve">para </w:t>
      </w:r>
      <w:r w:rsidR="00B23C9D" w:rsidRPr="00895E7B">
        <w:rPr>
          <w:rFonts w:cs="Arial"/>
          <w:b w:val="0"/>
          <w:color w:val="auto"/>
          <w:spacing w:val="0"/>
          <w:szCs w:val="22"/>
        </w:rPr>
        <w:t>octubre</w:t>
      </w:r>
      <w:r w:rsidR="008F7929" w:rsidRPr="00895E7B">
        <w:rPr>
          <w:rFonts w:cs="Arial"/>
          <w:b w:val="0"/>
          <w:color w:val="auto"/>
          <w:spacing w:val="0"/>
          <w:szCs w:val="22"/>
        </w:rPr>
        <w:t xml:space="preserve"> </w:t>
      </w:r>
      <w:r w:rsidR="0019343E" w:rsidRPr="00895E7B">
        <w:rPr>
          <w:rFonts w:cs="Arial"/>
          <w:b w:val="0"/>
          <w:color w:val="auto"/>
          <w:spacing w:val="0"/>
          <w:szCs w:val="22"/>
        </w:rPr>
        <w:t xml:space="preserve">de </w:t>
      </w:r>
      <w:r w:rsidR="002B7726" w:rsidRPr="00895E7B">
        <w:rPr>
          <w:rFonts w:cs="Arial"/>
          <w:b w:val="0"/>
          <w:color w:val="auto"/>
          <w:spacing w:val="0"/>
          <w:szCs w:val="22"/>
        </w:rPr>
        <w:t>este año</w:t>
      </w:r>
      <w:r w:rsidR="0019343E" w:rsidRPr="00895E7B">
        <w:rPr>
          <w:rFonts w:cs="Arial"/>
          <w:b w:val="0"/>
          <w:color w:val="auto"/>
          <w:spacing w:val="0"/>
          <w:szCs w:val="22"/>
        </w:rPr>
        <w:t>.</w:t>
      </w:r>
    </w:p>
    <w:p w14:paraId="28479CF4" w14:textId="77777777" w:rsidR="00895E7B" w:rsidRPr="00B17F8A" w:rsidRDefault="00895E7B" w:rsidP="00895E7B">
      <w:pPr>
        <w:spacing w:before="240"/>
        <w:jc w:val="center"/>
        <w:rPr>
          <w:b/>
          <w:bCs/>
          <w:smallCaps/>
          <w:sz w:val="20"/>
          <w:szCs w:val="20"/>
        </w:rPr>
      </w:pPr>
      <w:r w:rsidRPr="00B17F8A">
        <w:rPr>
          <w:bCs/>
          <w:sz w:val="20"/>
          <w:szCs w:val="20"/>
        </w:rPr>
        <w:t xml:space="preserve">Cuadro </w:t>
      </w:r>
      <w:r>
        <w:rPr>
          <w:bCs/>
          <w:sz w:val="20"/>
          <w:szCs w:val="20"/>
        </w:rPr>
        <w:t>1</w:t>
      </w:r>
    </w:p>
    <w:p w14:paraId="5E5CFEBA" w14:textId="77777777" w:rsidR="00895E7B" w:rsidRDefault="00895E7B" w:rsidP="00895E7B">
      <w:pPr>
        <w:pStyle w:val="Titcuadrograf"/>
        <w:ind w:left="0"/>
        <w:rPr>
          <w:sz w:val="22"/>
          <w:szCs w:val="22"/>
        </w:rPr>
      </w:pPr>
      <w:r>
        <w:rPr>
          <w:sz w:val="22"/>
          <w:szCs w:val="22"/>
        </w:rPr>
        <w:t>variación del indicador oportuno</w:t>
      </w:r>
      <w:r w:rsidRPr="00E15E72">
        <w:rPr>
          <w:sz w:val="22"/>
          <w:szCs w:val="22"/>
        </w:rPr>
        <w:t xml:space="preserve"> </w:t>
      </w:r>
      <w:r>
        <w:rPr>
          <w:sz w:val="22"/>
          <w:szCs w:val="22"/>
        </w:rPr>
        <w:t>d</w:t>
      </w:r>
      <w:r w:rsidRPr="00E15E72">
        <w:rPr>
          <w:sz w:val="22"/>
          <w:szCs w:val="22"/>
        </w:rPr>
        <w:t>e</w:t>
      </w:r>
      <w:r>
        <w:rPr>
          <w:sz w:val="22"/>
          <w:szCs w:val="22"/>
        </w:rPr>
        <w:t xml:space="preserve"> </w:t>
      </w:r>
      <w:r w:rsidRPr="00E15E72">
        <w:rPr>
          <w:sz w:val="22"/>
          <w:szCs w:val="22"/>
        </w:rPr>
        <w:t>l</w:t>
      </w:r>
      <w:r>
        <w:rPr>
          <w:sz w:val="22"/>
          <w:szCs w:val="22"/>
        </w:rPr>
        <w:t>a actividad económica</w:t>
      </w:r>
      <w:r w:rsidRPr="00E15E72">
        <w:rPr>
          <w:sz w:val="22"/>
          <w:szCs w:val="22"/>
        </w:rPr>
        <w:t>,</w:t>
      </w:r>
    </w:p>
    <w:p w14:paraId="30A5075A" w14:textId="77777777" w:rsidR="00895E7B" w:rsidRPr="00E15E72" w:rsidRDefault="00895E7B" w:rsidP="00895E7B">
      <w:pPr>
        <w:pStyle w:val="Titcuadrograf"/>
        <w:ind w:left="0"/>
        <w:rPr>
          <w:sz w:val="22"/>
          <w:szCs w:val="22"/>
        </w:rPr>
      </w:pPr>
      <w:r w:rsidRPr="00E15E72">
        <w:rPr>
          <w:sz w:val="22"/>
          <w:szCs w:val="22"/>
        </w:rPr>
        <w:t>actividades secundarias y terciarias</w:t>
      </w:r>
    </w:p>
    <w:p w14:paraId="4617E31C" w14:textId="77777777" w:rsidR="00895E7B" w:rsidRPr="001622CD" w:rsidRDefault="00895E7B" w:rsidP="00895E7B">
      <w:pPr>
        <w:pStyle w:val="Titcuadrograf"/>
        <w:ind w:left="0"/>
        <w:rPr>
          <w:bCs/>
          <w:sz w:val="22"/>
          <w:szCs w:val="22"/>
        </w:rPr>
      </w:pPr>
      <w:r>
        <w:rPr>
          <w:bCs/>
          <w:sz w:val="20"/>
          <w:szCs w:val="20"/>
        </w:rPr>
        <w:t>modelos estimados con series</w:t>
      </w:r>
      <w:r w:rsidRPr="00177AEC">
        <w:rPr>
          <w:bCs/>
          <w:sz w:val="20"/>
          <w:szCs w:val="20"/>
        </w:rPr>
        <w:t xml:space="preserve"> desestacionalizadas</w:t>
      </w:r>
    </w:p>
    <w:p w14:paraId="1D7073BA" w14:textId="77777777" w:rsidR="00895E7B" w:rsidRPr="00F14FF8" w:rsidRDefault="00895E7B" w:rsidP="00895E7B">
      <w:pPr>
        <w:pStyle w:val="Titcuadrograf"/>
        <w:ind w:left="0"/>
        <w:rPr>
          <w:b w:val="0"/>
          <w:smallCaps w:val="0"/>
          <w:sz w:val="18"/>
          <w:szCs w:val="18"/>
        </w:rPr>
      </w:pPr>
      <w:r w:rsidRPr="00F14FF8">
        <w:rPr>
          <w:b w:val="0"/>
          <w:smallCaps w:val="0"/>
          <w:sz w:val="18"/>
          <w:szCs w:val="18"/>
        </w:rPr>
        <w:t>(</w:t>
      </w:r>
      <w:r>
        <w:rPr>
          <w:b w:val="0"/>
          <w:smallCaps w:val="0"/>
          <w:sz w:val="18"/>
          <w:szCs w:val="18"/>
        </w:rPr>
        <w:t>v</w:t>
      </w:r>
      <w:r w:rsidRPr="00F14FF8">
        <w:rPr>
          <w:b w:val="0"/>
          <w:smallCaps w:val="0"/>
          <w:sz w:val="18"/>
          <w:szCs w:val="18"/>
        </w:rPr>
        <w:t>ariación porcentual real respecto al mismo mes del año anterior)</w:t>
      </w:r>
    </w:p>
    <w:tbl>
      <w:tblPr>
        <w:tblW w:w="9888"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686"/>
        <w:gridCol w:w="912"/>
        <w:gridCol w:w="912"/>
        <w:gridCol w:w="912"/>
        <w:gridCol w:w="911"/>
        <w:gridCol w:w="911"/>
        <w:gridCol w:w="911"/>
        <w:gridCol w:w="911"/>
        <w:gridCol w:w="911"/>
        <w:gridCol w:w="911"/>
      </w:tblGrid>
      <w:tr w:rsidR="00895E7B" w:rsidRPr="0020223F" w14:paraId="4A916BA1" w14:textId="77777777" w:rsidTr="0092772B">
        <w:trPr>
          <w:trHeight w:val="340"/>
          <w:jc w:val="center"/>
        </w:trPr>
        <w:tc>
          <w:tcPr>
            <w:tcW w:w="1686" w:type="dxa"/>
            <w:vMerge w:val="restart"/>
            <w:tcBorders>
              <w:right w:val="single" w:sz="4" w:space="0" w:color="auto"/>
            </w:tcBorders>
            <w:shd w:val="clear" w:color="auto" w:fill="D7E3BC"/>
            <w:noWrap/>
            <w:vAlign w:val="center"/>
            <w:hideMark/>
          </w:tcPr>
          <w:p w14:paraId="7E147624" w14:textId="77777777" w:rsidR="00895E7B" w:rsidRPr="00862F95" w:rsidRDefault="00895E7B" w:rsidP="0092772B">
            <w:pPr>
              <w:jc w:val="center"/>
              <w:rPr>
                <w:color w:val="000000"/>
                <w:sz w:val="16"/>
                <w:szCs w:val="16"/>
                <w:lang w:val="es-MX" w:eastAsia="es-MX"/>
              </w:rPr>
            </w:pPr>
            <w:r>
              <w:rPr>
                <w:color w:val="000000"/>
                <w:sz w:val="16"/>
                <w:szCs w:val="16"/>
                <w:lang w:eastAsia="es-MX"/>
              </w:rPr>
              <w:t>Periodo</w:t>
            </w:r>
            <w:r w:rsidRPr="00862F95">
              <w:rPr>
                <w:color w:val="000000"/>
                <w:sz w:val="16"/>
                <w:szCs w:val="16"/>
                <w:lang w:eastAsia="es-MX"/>
              </w:rPr>
              <w:t xml:space="preserve"> de referencia</w:t>
            </w:r>
          </w:p>
        </w:tc>
        <w:tc>
          <w:tcPr>
            <w:tcW w:w="2736" w:type="dxa"/>
            <w:gridSpan w:val="3"/>
            <w:tcBorders>
              <w:left w:val="single" w:sz="4" w:space="0" w:color="auto"/>
              <w:bottom w:val="single" w:sz="4" w:space="0" w:color="auto"/>
              <w:right w:val="single" w:sz="4" w:space="0" w:color="auto"/>
            </w:tcBorders>
            <w:shd w:val="clear" w:color="auto" w:fill="D7E3BC"/>
            <w:noWrap/>
            <w:vAlign w:val="center"/>
            <w:hideMark/>
          </w:tcPr>
          <w:p w14:paraId="72053F88" w14:textId="77777777" w:rsidR="00895E7B" w:rsidRPr="009F3C12" w:rsidRDefault="00895E7B" w:rsidP="0092772B">
            <w:pPr>
              <w:jc w:val="center"/>
              <w:rPr>
                <w:smallCaps/>
                <w:color w:val="000000"/>
                <w:sz w:val="16"/>
                <w:szCs w:val="16"/>
                <w:lang w:eastAsia="es-MX"/>
              </w:rPr>
            </w:pPr>
            <w:r w:rsidRPr="009F3C12">
              <w:rPr>
                <w:smallCaps/>
                <w:color w:val="000000"/>
                <w:sz w:val="16"/>
                <w:szCs w:val="16"/>
                <w:lang w:eastAsia="es-MX"/>
              </w:rPr>
              <w:t>IGAE</w:t>
            </w:r>
          </w:p>
        </w:tc>
        <w:tc>
          <w:tcPr>
            <w:tcW w:w="2733" w:type="dxa"/>
            <w:gridSpan w:val="3"/>
            <w:tcBorders>
              <w:left w:val="single" w:sz="4" w:space="0" w:color="auto"/>
              <w:bottom w:val="single" w:sz="4" w:space="0" w:color="auto"/>
              <w:right w:val="single" w:sz="4" w:space="0" w:color="auto"/>
            </w:tcBorders>
            <w:shd w:val="clear" w:color="auto" w:fill="D7E3BC"/>
            <w:noWrap/>
            <w:vAlign w:val="center"/>
            <w:hideMark/>
          </w:tcPr>
          <w:p w14:paraId="4E63395E" w14:textId="77777777" w:rsidR="00895E7B" w:rsidRPr="00862F95" w:rsidRDefault="00895E7B" w:rsidP="0092772B">
            <w:pPr>
              <w:jc w:val="center"/>
              <w:rPr>
                <w:color w:val="000000"/>
                <w:sz w:val="16"/>
                <w:szCs w:val="16"/>
                <w:lang w:eastAsia="es-MX"/>
              </w:rPr>
            </w:pPr>
            <w:r w:rsidRPr="00862F95">
              <w:rPr>
                <w:color w:val="000000"/>
                <w:sz w:val="16"/>
                <w:szCs w:val="16"/>
                <w:lang w:eastAsia="es-MX"/>
              </w:rPr>
              <w:t>Actividades secundarias</w:t>
            </w:r>
          </w:p>
        </w:tc>
        <w:tc>
          <w:tcPr>
            <w:tcW w:w="2733" w:type="dxa"/>
            <w:gridSpan w:val="3"/>
            <w:tcBorders>
              <w:left w:val="single" w:sz="4" w:space="0" w:color="auto"/>
              <w:bottom w:val="single" w:sz="4" w:space="0" w:color="auto"/>
            </w:tcBorders>
            <w:shd w:val="clear" w:color="auto" w:fill="D7E3BC"/>
            <w:noWrap/>
            <w:vAlign w:val="center"/>
            <w:hideMark/>
          </w:tcPr>
          <w:p w14:paraId="4F9CB9D1" w14:textId="77777777" w:rsidR="00895E7B" w:rsidRPr="00862F95" w:rsidRDefault="00895E7B" w:rsidP="0092772B">
            <w:pPr>
              <w:jc w:val="center"/>
              <w:rPr>
                <w:color w:val="000000"/>
                <w:sz w:val="16"/>
                <w:szCs w:val="16"/>
                <w:lang w:eastAsia="es-MX"/>
              </w:rPr>
            </w:pPr>
            <w:r w:rsidRPr="00862F95">
              <w:rPr>
                <w:color w:val="000000"/>
                <w:sz w:val="16"/>
                <w:szCs w:val="16"/>
                <w:lang w:eastAsia="es-MX"/>
              </w:rPr>
              <w:t>Actividades terciarias</w:t>
            </w:r>
          </w:p>
        </w:tc>
      </w:tr>
      <w:tr w:rsidR="00895E7B" w:rsidRPr="0020223F" w14:paraId="74676AAE" w14:textId="77777777" w:rsidTr="0092772B">
        <w:trPr>
          <w:trHeight w:val="340"/>
          <w:jc w:val="center"/>
        </w:trPr>
        <w:tc>
          <w:tcPr>
            <w:tcW w:w="1686" w:type="dxa"/>
            <w:vMerge/>
            <w:tcBorders>
              <w:bottom w:val="single" w:sz="4" w:space="0" w:color="auto"/>
              <w:right w:val="single" w:sz="4" w:space="0" w:color="auto"/>
            </w:tcBorders>
            <w:shd w:val="clear" w:color="auto" w:fill="D7E3BC"/>
            <w:vAlign w:val="center"/>
            <w:hideMark/>
          </w:tcPr>
          <w:p w14:paraId="47DADE1F" w14:textId="77777777" w:rsidR="00895E7B" w:rsidRPr="00862F95" w:rsidRDefault="00895E7B" w:rsidP="0092772B">
            <w:pPr>
              <w:jc w:val="center"/>
              <w:rPr>
                <w:color w:val="000000"/>
                <w:sz w:val="16"/>
                <w:szCs w:val="16"/>
                <w:lang w:eastAsia="es-MX"/>
              </w:rPr>
            </w:pP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28834E9" w14:textId="77777777" w:rsidR="00895E7B" w:rsidRPr="00862F95" w:rsidRDefault="00895E7B" w:rsidP="0092772B">
            <w:pPr>
              <w:jc w:val="center"/>
              <w:rPr>
                <w:color w:val="000000"/>
                <w:sz w:val="16"/>
                <w:szCs w:val="16"/>
                <w:lang w:eastAsia="es-MX"/>
              </w:rPr>
            </w:pPr>
            <w:r w:rsidRPr="00862F95">
              <w:rPr>
                <w:color w:val="000000"/>
                <w:sz w:val="16"/>
                <w:szCs w:val="16"/>
                <w:lang w:eastAsia="es-MX"/>
              </w:rPr>
              <w:t>Inferior</w:t>
            </w: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E62ACD5" w14:textId="77777777" w:rsidR="00895E7B" w:rsidRPr="00C36079" w:rsidRDefault="00895E7B" w:rsidP="0092772B">
            <w:pPr>
              <w:jc w:val="center"/>
              <w:rPr>
                <w:i/>
                <w:iCs/>
                <w:color w:val="000000"/>
                <w:sz w:val="16"/>
                <w:szCs w:val="16"/>
                <w:lang w:eastAsia="es-MX"/>
              </w:rPr>
            </w:pPr>
            <w:r w:rsidRPr="00C36079">
              <w:rPr>
                <w:i/>
                <w:iCs/>
                <w:color w:val="000000"/>
                <w:sz w:val="16"/>
                <w:szCs w:val="16"/>
                <w:lang w:eastAsia="es-MX"/>
              </w:rPr>
              <w:t>Nowca</w:t>
            </w:r>
            <w:r>
              <w:rPr>
                <w:i/>
                <w:iCs/>
                <w:color w:val="000000"/>
                <w:sz w:val="16"/>
                <w:szCs w:val="16"/>
                <w:lang w:eastAsia="es-MX"/>
              </w:rPr>
              <w:t>st</w:t>
            </w:r>
            <w:r w:rsidRPr="00862F95">
              <w:rPr>
                <w:color w:val="000000"/>
                <w:sz w:val="16"/>
                <w:szCs w:val="16"/>
                <w:vertAlign w:val="superscript"/>
                <w:lang w:eastAsia="es-MX"/>
              </w:rPr>
              <w:t>1</w:t>
            </w:r>
            <w:r>
              <w:rPr>
                <w:color w:val="000000"/>
                <w:sz w:val="16"/>
                <w:szCs w:val="16"/>
                <w:vertAlign w:val="superscript"/>
                <w:lang w:eastAsia="es-MX"/>
              </w:rPr>
              <w:t>/</w:t>
            </w: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A8D2738" w14:textId="77777777" w:rsidR="00895E7B" w:rsidRPr="00862F95" w:rsidRDefault="00895E7B" w:rsidP="0092772B">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4265FE5" w14:textId="77777777" w:rsidR="00895E7B" w:rsidRPr="00862F95" w:rsidRDefault="00895E7B" w:rsidP="0092772B">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F3991C8" w14:textId="77777777" w:rsidR="00895E7B" w:rsidRPr="00862F95" w:rsidRDefault="00895E7B" w:rsidP="0092772B">
            <w:pPr>
              <w:jc w:val="center"/>
              <w:rPr>
                <w:color w:val="000000"/>
                <w:sz w:val="16"/>
                <w:szCs w:val="16"/>
                <w:lang w:eastAsia="es-MX"/>
              </w:rPr>
            </w:pPr>
            <w:r w:rsidRPr="00C36079">
              <w:rPr>
                <w:i/>
                <w:iCs/>
                <w:color w:val="000000"/>
                <w:sz w:val="16"/>
                <w:szCs w:val="16"/>
                <w:lang w:eastAsia="es-MX"/>
              </w:rPr>
              <w:t>Nowcast</w:t>
            </w:r>
            <w:r w:rsidRPr="00862F95">
              <w:rPr>
                <w:color w:val="000000"/>
                <w:sz w:val="16"/>
                <w:szCs w:val="16"/>
                <w:vertAlign w:val="superscript"/>
                <w:lang w:eastAsia="es-MX"/>
              </w:rPr>
              <w:t>1</w:t>
            </w:r>
            <w:r>
              <w:rPr>
                <w:color w:val="000000"/>
                <w:sz w:val="16"/>
                <w:szCs w:val="16"/>
                <w:vertAlign w:val="superscript"/>
                <w:lang w:eastAsia="es-MX"/>
              </w:rPr>
              <w:t>/</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E9A8B56" w14:textId="77777777" w:rsidR="00895E7B" w:rsidRPr="00862F95" w:rsidRDefault="00895E7B" w:rsidP="0092772B">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9E02860" w14:textId="77777777" w:rsidR="00895E7B" w:rsidRPr="00862F95" w:rsidRDefault="00895E7B" w:rsidP="0092772B">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779C551" w14:textId="77777777" w:rsidR="00895E7B" w:rsidRPr="00862F95" w:rsidRDefault="00895E7B" w:rsidP="0092772B">
            <w:pPr>
              <w:jc w:val="center"/>
              <w:rPr>
                <w:color w:val="000000"/>
                <w:sz w:val="16"/>
                <w:szCs w:val="16"/>
                <w:lang w:eastAsia="es-MX"/>
              </w:rPr>
            </w:pPr>
            <w:r w:rsidRPr="00C36079">
              <w:rPr>
                <w:i/>
                <w:iCs/>
                <w:color w:val="000000"/>
                <w:sz w:val="16"/>
                <w:szCs w:val="16"/>
                <w:lang w:eastAsia="es-MX"/>
              </w:rPr>
              <w:t>Nowcast</w:t>
            </w:r>
            <w:r w:rsidRPr="00862F95">
              <w:rPr>
                <w:color w:val="000000"/>
                <w:sz w:val="16"/>
                <w:szCs w:val="16"/>
                <w:vertAlign w:val="superscript"/>
                <w:lang w:eastAsia="es-MX"/>
              </w:rPr>
              <w:t>1</w:t>
            </w:r>
            <w:r>
              <w:rPr>
                <w:color w:val="000000"/>
                <w:sz w:val="16"/>
                <w:szCs w:val="16"/>
                <w:vertAlign w:val="superscript"/>
                <w:lang w:eastAsia="es-MX"/>
              </w:rPr>
              <w:t>/</w:t>
            </w:r>
          </w:p>
        </w:tc>
        <w:tc>
          <w:tcPr>
            <w:tcW w:w="911" w:type="dxa"/>
            <w:tcBorders>
              <w:top w:val="single" w:sz="4" w:space="0" w:color="auto"/>
              <w:left w:val="single" w:sz="4" w:space="0" w:color="auto"/>
              <w:bottom w:val="single" w:sz="4" w:space="0" w:color="auto"/>
            </w:tcBorders>
            <w:shd w:val="clear" w:color="auto" w:fill="D7E3BC"/>
            <w:noWrap/>
            <w:vAlign w:val="center"/>
            <w:hideMark/>
          </w:tcPr>
          <w:p w14:paraId="3593711E" w14:textId="77777777" w:rsidR="00895E7B" w:rsidRPr="00862F95" w:rsidRDefault="00895E7B" w:rsidP="0092772B">
            <w:pPr>
              <w:jc w:val="center"/>
              <w:rPr>
                <w:color w:val="000000"/>
                <w:sz w:val="16"/>
                <w:szCs w:val="16"/>
                <w:lang w:eastAsia="es-MX"/>
              </w:rPr>
            </w:pPr>
            <w:r w:rsidRPr="00862F95">
              <w:rPr>
                <w:color w:val="000000"/>
                <w:sz w:val="16"/>
                <w:szCs w:val="16"/>
                <w:lang w:eastAsia="es-MX"/>
              </w:rPr>
              <w:t>Superior</w:t>
            </w:r>
          </w:p>
        </w:tc>
      </w:tr>
      <w:tr w:rsidR="00895E7B" w:rsidRPr="0020223F" w14:paraId="003ED5B6" w14:textId="77777777" w:rsidTr="0092772B">
        <w:trPr>
          <w:trHeight w:val="283"/>
          <w:jc w:val="center"/>
        </w:trPr>
        <w:tc>
          <w:tcPr>
            <w:tcW w:w="1686" w:type="dxa"/>
            <w:tcBorders>
              <w:top w:val="single" w:sz="4" w:space="0" w:color="auto"/>
              <w:right w:val="single" w:sz="4" w:space="0" w:color="auto"/>
            </w:tcBorders>
            <w:noWrap/>
            <w:vAlign w:val="center"/>
            <w:hideMark/>
          </w:tcPr>
          <w:p w14:paraId="3E748CCC" w14:textId="77777777" w:rsidR="00895E7B" w:rsidRPr="00A90756" w:rsidRDefault="00895E7B" w:rsidP="0092772B">
            <w:pPr>
              <w:jc w:val="left"/>
              <w:rPr>
                <w:color w:val="000000"/>
                <w:sz w:val="16"/>
                <w:szCs w:val="16"/>
                <w:lang w:eastAsia="es-MX"/>
              </w:rPr>
            </w:pPr>
            <w:r>
              <w:rPr>
                <w:sz w:val="16"/>
                <w:szCs w:val="16"/>
              </w:rPr>
              <w:t xml:space="preserve">Septiembre </w:t>
            </w:r>
            <w:r w:rsidRPr="00A90756">
              <w:rPr>
                <w:sz w:val="16"/>
                <w:szCs w:val="16"/>
              </w:rPr>
              <w:t>de 2024</w:t>
            </w:r>
          </w:p>
        </w:tc>
        <w:tc>
          <w:tcPr>
            <w:tcW w:w="912" w:type="dxa"/>
            <w:tcBorders>
              <w:top w:val="single" w:sz="4" w:space="0" w:color="auto"/>
              <w:left w:val="single" w:sz="4" w:space="0" w:color="auto"/>
              <w:right w:val="single" w:sz="4" w:space="0" w:color="auto"/>
            </w:tcBorders>
            <w:noWrap/>
            <w:vAlign w:val="center"/>
            <w:hideMark/>
          </w:tcPr>
          <w:p w14:paraId="184A440E" w14:textId="77777777" w:rsidR="00895E7B" w:rsidRPr="00245045" w:rsidRDefault="00895E7B" w:rsidP="0092772B">
            <w:pPr>
              <w:widowControl w:val="0"/>
              <w:jc w:val="center"/>
              <w:rPr>
                <w:color w:val="000000"/>
                <w:sz w:val="16"/>
                <w:szCs w:val="16"/>
                <w:lang w:eastAsia="es-MX"/>
              </w:rPr>
            </w:pPr>
            <w:r w:rsidRPr="00245045">
              <w:rPr>
                <w:sz w:val="16"/>
                <w:szCs w:val="16"/>
                <w:lang w:val="es-ES"/>
              </w:rPr>
              <w:t>-0.6</w:t>
            </w:r>
          </w:p>
        </w:tc>
        <w:tc>
          <w:tcPr>
            <w:tcW w:w="912" w:type="dxa"/>
            <w:tcBorders>
              <w:top w:val="single" w:sz="4" w:space="0" w:color="auto"/>
              <w:left w:val="single" w:sz="4" w:space="0" w:color="auto"/>
              <w:right w:val="single" w:sz="4" w:space="0" w:color="auto"/>
            </w:tcBorders>
            <w:noWrap/>
            <w:vAlign w:val="center"/>
            <w:hideMark/>
          </w:tcPr>
          <w:p w14:paraId="74218DAC" w14:textId="77777777" w:rsidR="00895E7B" w:rsidRPr="00245045" w:rsidRDefault="00895E7B" w:rsidP="0092772B">
            <w:pPr>
              <w:widowControl w:val="0"/>
              <w:jc w:val="center"/>
              <w:rPr>
                <w:color w:val="000000"/>
                <w:sz w:val="16"/>
                <w:szCs w:val="16"/>
                <w:lang w:eastAsia="es-MX"/>
              </w:rPr>
            </w:pPr>
            <w:r w:rsidRPr="00245045">
              <w:rPr>
                <w:sz w:val="16"/>
                <w:szCs w:val="16"/>
                <w:lang w:val="es-ES"/>
              </w:rPr>
              <w:t>0.3</w:t>
            </w:r>
          </w:p>
        </w:tc>
        <w:tc>
          <w:tcPr>
            <w:tcW w:w="912" w:type="dxa"/>
            <w:tcBorders>
              <w:top w:val="single" w:sz="4" w:space="0" w:color="auto"/>
              <w:left w:val="single" w:sz="4" w:space="0" w:color="auto"/>
              <w:right w:val="single" w:sz="4" w:space="0" w:color="auto"/>
            </w:tcBorders>
            <w:noWrap/>
            <w:vAlign w:val="center"/>
            <w:hideMark/>
          </w:tcPr>
          <w:p w14:paraId="4644EF5A" w14:textId="77777777" w:rsidR="00895E7B" w:rsidRPr="00245045" w:rsidRDefault="00895E7B" w:rsidP="0092772B">
            <w:pPr>
              <w:widowControl w:val="0"/>
              <w:jc w:val="center"/>
              <w:rPr>
                <w:color w:val="000000"/>
                <w:sz w:val="16"/>
                <w:szCs w:val="16"/>
                <w:lang w:eastAsia="es-MX"/>
              </w:rPr>
            </w:pPr>
            <w:r w:rsidRPr="00245045">
              <w:rPr>
                <w:sz w:val="16"/>
                <w:szCs w:val="16"/>
                <w:lang w:val="es-ES"/>
              </w:rPr>
              <w:t>1.3</w:t>
            </w:r>
          </w:p>
        </w:tc>
        <w:tc>
          <w:tcPr>
            <w:tcW w:w="911" w:type="dxa"/>
            <w:tcBorders>
              <w:top w:val="single" w:sz="4" w:space="0" w:color="auto"/>
              <w:left w:val="single" w:sz="4" w:space="0" w:color="auto"/>
              <w:right w:val="single" w:sz="4" w:space="0" w:color="auto"/>
            </w:tcBorders>
            <w:noWrap/>
            <w:vAlign w:val="center"/>
          </w:tcPr>
          <w:p w14:paraId="5D9F30E0" w14:textId="77777777" w:rsidR="00895E7B" w:rsidRPr="00245045" w:rsidRDefault="00895E7B" w:rsidP="0092772B">
            <w:pPr>
              <w:widowControl w:val="0"/>
              <w:tabs>
                <w:tab w:val="decimal" w:pos="267"/>
              </w:tabs>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hideMark/>
          </w:tcPr>
          <w:p w14:paraId="3F22F1C5" w14:textId="77777777" w:rsidR="00895E7B" w:rsidRPr="00245045" w:rsidRDefault="00895E7B" w:rsidP="0092772B">
            <w:pPr>
              <w:widowControl w:val="0"/>
              <w:jc w:val="center"/>
              <w:rPr>
                <w:color w:val="000000"/>
                <w:sz w:val="16"/>
                <w:szCs w:val="16"/>
                <w:lang w:eastAsia="es-MX"/>
              </w:rPr>
            </w:pPr>
            <w:r w:rsidRPr="00245045">
              <w:rPr>
                <w:sz w:val="16"/>
                <w:szCs w:val="16"/>
                <w:lang w:val="es-ES"/>
              </w:rPr>
              <w:t>0.0</w:t>
            </w:r>
            <w:r w:rsidRPr="002C6088">
              <w:rPr>
                <w:sz w:val="16"/>
                <w:szCs w:val="16"/>
                <w:vertAlign w:val="superscript"/>
                <w:lang w:val="es-ES"/>
              </w:rPr>
              <w:t>2/</w:t>
            </w:r>
          </w:p>
        </w:tc>
        <w:tc>
          <w:tcPr>
            <w:tcW w:w="911" w:type="dxa"/>
            <w:tcBorders>
              <w:top w:val="single" w:sz="4" w:space="0" w:color="auto"/>
              <w:left w:val="single" w:sz="4" w:space="0" w:color="auto"/>
              <w:right w:val="single" w:sz="4" w:space="0" w:color="auto"/>
            </w:tcBorders>
            <w:noWrap/>
            <w:vAlign w:val="center"/>
          </w:tcPr>
          <w:p w14:paraId="3AA1D7BA" w14:textId="77777777" w:rsidR="00895E7B" w:rsidRPr="00245045" w:rsidRDefault="00895E7B" w:rsidP="0092772B">
            <w:pPr>
              <w:widowControl w:val="0"/>
              <w:tabs>
                <w:tab w:val="decimal" w:pos="267"/>
              </w:tabs>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tcPr>
          <w:p w14:paraId="6DDDC725" w14:textId="77777777" w:rsidR="00895E7B" w:rsidRPr="00245045" w:rsidRDefault="00895E7B" w:rsidP="0092772B">
            <w:pPr>
              <w:widowControl w:val="0"/>
              <w:jc w:val="center"/>
              <w:rPr>
                <w:color w:val="000000"/>
                <w:sz w:val="16"/>
                <w:szCs w:val="16"/>
                <w:lang w:eastAsia="es-MX"/>
              </w:rPr>
            </w:pPr>
            <w:r w:rsidRPr="00245045">
              <w:rPr>
                <w:sz w:val="16"/>
                <w:szCs w:val="16"/>
                <w:lang w:val="es-ES"/>
              </w:rPr>
              <w:t>-0.7</w:t>
            </w:r>
          </w:p>
        </w:tc>
        <w:tc>
          <w:tcPr>
            <w:tcW w:w="911" w:type="dxa"/>
            <w:tcBorders>
              <w:top w:val="single" w:sz="4" w:space="0" w:color="auto"/>
              <w:left w:val="single" w:sz="4" w:space="0" w:color="auto"/>
              <w:right w:val="single" w:sz="4" w:space="0" w:color="auto"/>
            </w:tcBorders>
            <w:noWrap/>
            <w:vAlign w:val="center"/>
          </w:tcPr>
          <w:p w14:paraId="702DC8B4" w14:textId="77777777" w:rsidR="00895E7B" w:rsidRPr="00245045" w:rsidRDefault="00895E7B" w:rsidP="0092772B">
            <w:pPr>
              <w:widowControl w:val="0"/>
              <w:jc w:val="center"/>
              <w:rPr>
                <w:color w:val="000000"/>
                <w:sz w:val="16"/>
                <w:szCs w:val="16"/>
                <w:lang w:eastAsia="es-MX"/>
              </w:rPr>
            </w:pPr>
            <w:r w:rsidRPr="00245045">
              <w:rPr>
                <w:sz w:val="16"/>
                <w:szCs w:val="16"/>
                <w:lang w:val="es-ES"/>
              </w:rPr>
              <w:t>0.4</w:t>
            </w:r>
          </w:p>
        </w:tc>
        <w:tc>
          <w:tcPr>
            <w:tcW w:w="911" w:type="dxa"/>
            <w:tcBorders>
              <w:top w:val="single" w:sz="4" w:space="0" w:color="auto"/>
              <w:left w:val="single" w:sz="4" w:space="0" w:color="auto"/>
            </w:tcBorders>
            <w:noWrap/>
            <w:vAlign w:val="center"/>
          </w:tcPr>
          <w:p w14:paraId="2779A1BF" w14:textId="77777777" w:rsidR="00895E7B" w:rsidRPr="00245045" w:rsidRDefault="00895E7B" w:rsidP="0092772B">
            <w:pPr>
              <w:widowControl w:val="0"/>
              <w:jc w:val="center"/>
              <w:rPr>
                <w:color w:val="000000"/>
                <w:sz w:val="16"/>
                <w:szCs w:val="16"/>
                <w:lang w:eastAsia="es-MX"/>
              </w:rPr>
            </w:pPr>
            <w:r w:rsidRPr="00245045">
              <w:rPr>
                <w:sz w:val="16"/>
                <w:szCs w:val="16"/>
                <w:lang w:val="es-ES"/>
              </w:rPr>
              <w:t>1.5</w:t>
            </w:r>
          </w:p>
        </w:tc>
      </w:tr>
      <w:tr w:rsidR="00895E7B" w:rsidRPr="0020223F" w14:paraId="201C85CB" w14:textId="77777777" w:rsidTr="0092772B">
        <w:trPr>
          <w:trHeight w:val="283"/>
          <w:jc w:val="center"/>
        </w:trPr>
        <w:tc>
          <w:tcPr>
            <w:tcW w:w="1686" w:type="dxa"/>
            <w:tcBorders>
              <w:right w:val="single" w:sz="4" w:space="0" w:color="auto"/>
            </w:tcBorders>
            <w:noWrap/>
            <w:vAlign w:val="center"/>
            <w:hideMark/>
          </w:tcPr>
          <w:p w14:paraId="059958E0" w14:textId="77777777" w:rsidR="00895E7B" w:rsidRPr="00A90756" w:rsidRDefault="00895E7B" w:rsidP="0092772B">
            <w:pPr>
              <w:jc w:val="left"/>
              <w:rPr>
                <w:color w:val="000000"/>
                <w:sz w:val="16"/>
                <w:szCs w:val="16"/>
                <w:lang w:eastAsia="es-MX"/>
              </w:rPr>
            </w:pPr>
            <w:r>
              <w:rPr>
                <w:sz w:val="16"/>
                <w:szCs w:val="16"/>
              </w:rPr>
              <w:t xml:space="preserve">Octubre </w:t>
            </w:r>
            <w:r w:rsidRPr="00A90756">
              <w:rPr>
                <w:sz w:val="16"/>
                <w:szCs w:val="16"/>
              </w:rPr>
              <w:t>de 2024</w:t>
            </w:r>
          </w:p>
        </w:tc>
        <w:tc>
          <w:tcPr>
            <w:tcW w:w="912" w:type="dxa"/>
            <w:tcBorders>
              <w:left w:val="single" w:sz="4" w:space="0" w:color="auto"/>
              <w:right w:val="single" w:sz="4" w:space="0" w:color="auto"/>
            </w:tcBorders>
            <w:noWrap/>
            <w:vAlign w:val="center"/>
            <w:hideMark/>
          </w:tcPr>
          <w:p w14:paraId="66F32DDD" w14:textId="77777777" w:rsidR="00895E7B" w:rsidRPr="00245045" w:rsidRDefault="00895E7B" w:rsidP="0092772B">
            <w:pPr>
              <w:widowControl w:val="0"/>
              <w:jc w:val="center"/>
              <w:rPr>
                <w:color w:val="000000"/>
                <w:sz w:val="16"/>
                <w:szCs w:val="16"/>
                <w:lang w:eastAsia="es-MX"/>
              </w:rPr>
            </w:pPr>
            <w:r w:rsidRPr="00245045">
              <w:rPr>
                <w:sz w:val="16"/>
                <w:szCs w:val="16"/>
                <w:lang w:val="es-ES"/>
              </w:rPr>
              <w:t>-0.5</w:t>
            </w:r>
          </w:p>
        </w:tc>
        <w:tc>
          <w:tcPr>
            <w:tcW w:w="912" w:type="dxa"/>
            <w:tcBorders>
              <w:left w:val="single" w:sz="4" w:space="0" w:color="auto"/>
              <w:right w:val="single" w:sz="4" w:space="0" w:color="auto"/>
            </w:tcBorders>
            <w:noWrap/>
            <w:vAlign w:val="center"/>
            <w:hideMark/>
          </w:tcPr>
          <w:p w14:paraId="1A33711B" w14:textId="77777777" w:rsidR="00895E7B" w:rsidRPr="00245045" w:rsidRDefault="00895E7B" w:rsidP="0092772B">
            <w:pPr>
              <w:widowControl w:val="0"/>
              <w:jc w:val="center"/>
              <w:rPr>
                <w:color w:val="000000"/>
                <w:sz w:val="16"/>
                <w:szCs w:val="16"/>
                <w:lang w:eastAsia="es-MX"/>
              </w:rPr>
            </w:pPr>
            <w:r w:rsidRPr="00245045">
              <w:rPr>
                <w:sz w:val="16"/>
                <w:szCs w:val="16"/>
                <w:lang w:val="es-ES"/>
              </w:rPr>
              <w:t>0.4</w:t>
            </w:r>
          </w:p>
        </w:tc>
        <w:tc>
          <w:tcPr>
            <w:tcW w:w="912" w:type="dxa"/>
            <w:tcBorders>
              <w:left w:val="single" w:sz="4" w:space="0" w:color="auto"/>
              <w:right w:val="single" w:sz="4" w:space="0" w:color="auto"/>
            </w:tcBorders>
            <w:shd w:val="clear" w:color="auto" w:fill="auto"/>
            <w:noWrap/>
            <w:vAlign w:val="center"/>
            <w:hideMark/>
          </w:tcPr>
          <w:p w14:paraId="4286E922" w14:textId="77777777" w:rsidR="00895E7B" w:rsidRPr="00245045" w:rsidRDefault="00895E7B" w:rsidP="0092772B">
            <w:pPr>
              <w:widowControl w:val="0"/>
              <w:jc w:val="center"/>
              <w:rPr>
                <w:color w:val="000000"/>
                <w:sz w:val="16"/>
                <w:szCs w:val="16"/>
                <w:lang w:eastAsia="es-MX"/>
              </w:rPr>
            </w:pPr>
            <w:r w:rsidRPr="00245045">
              <w:rPr>
                <w:sz w:val="16"/>
                <w:szCs w:val="16"/>
                <w:lang w:val="es-ES"/>
              </w:rPr>
              <w:t>1.3</w:t>
            </w:r>
          </w:p>
        </w:tc>
        <w:tc>
          <w:tcPr>
            <w:tcW w:w="911" w:type="dxa"/>
            <w:tcBorders>
              <w:left w:val="single" w:sz="4" w:space="0" w:color="auto"/>
              <w:right w:val="single" w:sz="4" w:space="0" w:color="auto"/>
            </w:tcBorders>
            <w:noWrap/>
            <w:vAlign w:val="center"/>
            <w:hideMark/>
          </w:tcPr>
          <w:p w14:paraId="4CAA8C67" w14:textId="77777777" w:rsidR="00895E7B" w:rsidRPr="00245045" w:rsidRDefault="00895E7B" w:rsidP="0092772B">
            <w:pPr>
              <w:widowControl w:val="0"/>
              <w:jc w:val="center"/>
              <w:rPr>
                <w:color w:val="000000"/>
                <w:sz w:val="16"/>
                <w:szCs w:val="16"/>
                <w:lang w:eastAsia="es-MX"/>
              </w:rPr>
            </w:pPr>
            <w:r w:rsidRPr="00245045">
              <w:rPr>
                <w:sz w:val="16"/>
                <w:szCs w:val="16"/>
                <w:lang w:val="es-ES"/>
              </w:rPr>
              <w:t>-3.7</w:t>
            </w:r>
          </w:p>
        </w:tc>
        <w:tc>
          <w:tcPr>
            <w:tcW w:w="911" w:type="dxa"/>
            <w:tcBorders>
              <w:left w:val="single" w:sz="4" w:space="0" w:color="auto"/>
              <w:right w:val="single" w:sz="4" w:space="0" w:color="auto"/>
            </w:tcBorders>
            <w:noWrap/>
            <w:vAlign w:val="center"/>
            <w:hideMark/>
          </w:tcPr>
          <w:p w14:paraId="45D91718" w14:textId="77777777" w:rsidR="00895E7B" w:rsidRPr="00245045" w:rsidRDefault="00895E7B" w:rsidP="0092772B">
            <w:pPr>
              <w:widowControl w:val="0"/>
              <w:ind w:right="57"/>
              <w:jc w:val="center"/>
              <w:rPr>
                <w:color w:val="000000"/>
                <w:sz w:val="16"/>
                <w:szCs w:val="16"/>
                <w:lang w:eastAsia="es-MX"/>
              </w:rPr>
            </w:pPr>
            <w:r w:rsidRPr="00245045">
              <w:rPr>
                <w:sz w:val="16"/>
                <w:szCs w:val="16"/>
                <w:lang w:val="es-ES"/>
              </w:rPr>
              <w:t>-1.3</w:t>
            </w:r>
          </w:p>
        </w:tc>
        <w:tc>
          <w:tcPr>
            <w:tcW w:w="911" w:type="dxa"/>
            <w:tcBorders>
              <w:left w:val="single" w:sz="4" w:space="0" w:color="auto"/>
              <w:right w:val="single" w:sz="4" w:space="0" w:color="auto"/>
            </w:tcBorders>
            <w:noWrap/>
            <w:vAlign w:val="center"/>
            <w:hideMark/>
          </w:tcPr>
          <w:p w14:paraId="3457DF18" w14:textId="77777777" w:rsidR="00895E7B" w:rsidRPr="00245045" w:rsidRDefault="00895E7B" w:rsidP="0092772B">
            <w:pPr>
              <w:widowControl w:val="0"/>
              <w:jc w:val="center"/>
              <w:rPr>
                <w:color w:val="000000"/>
                <w:sz w:val="16"/>
                <w:szCs w:val="16"/>
                <w:lang w:eastAsia="es-MX"/>
              </w:rPr>
            </w:pPr>
            <w:r w:rsidRPr="00245045">
              <w:rPr>
                <w:sz w:val="16"/>
                <w:szCs w:val="16"/>
                <w:lang w:val="es-ES"/>
              </w:rPr>
              <w:t>1.1</w:t>
            </w:r>
          </w:p>
        </w:tc>
        <w:tc>
          <w:tcPr>
            <w:tcW w:w="911" w:type="dxa"/>
            <w:tcBorders>
              <w:left w:val="single" w:sz="4" w:space="0" w:color="auto"/>
              <w:right w:val="single" w:sz="4" w:space="0" w:color="auto"/>
            </w:tcBorders>
            <w:noWrap/>
            <w:vAlign w:val="center"/>
          </w:tcPr>
          <w:p w14:paraId="2A165A5C" w14:textId="77777777" w:rsidR="00895E7B" w:rsidRPr="00245045" w:rsidRDefault="00895E7B" w:rsidP="0092772B">
            <w:pPr>
              <w:widowControl w:val="0"/>
              <w:jc w:val="center"/>
              <w:rPr>
                <w:color w:val="000000"/>
                <w:sz w:val="16"/>
                <w:szCs w:val="16"/>
                <w:lang w:eastAsia="es-MX"/>
              </w:rPr>
            </w:pPr>
            <w:r w:rsidRPr="00245045">
              <w:rPr>
                <w:sz w:val="16"/>
                <w:szCs w:val="16"/>
                <w:lang w:val="es-ES"/>
              </w:rPr>
              <w:t>-0.1</w:t>
            </w:r>
          </w:p>
        </w:tc>
        <w:tc>
          <w:tcPr>
            <w:tcW w:w="911" w:type="dxa"/>
            <w:tcBorders>
              <w:left w:val="single" w:sz="4" w:space="0" w:color="auto"/>
              <w:right w:val="single" w:sz="4" w:space="0" w:color="auto"/>
            </w:tcBorders>
            <w:noWrap/>
            <w:vAlign w:val="center"/>
          </w:tcPr>
          <w:p w14:paraId="36954F91" w14:textId="77777777" w:rsidR="00895E7B" w:rsidRPr="00245045" w:rsidRDefault="00895E7B" w:rsidP="0092772B">
            <w:pPr>
              <w:widowControl w:val="0"/>
              <w:jc w:val="center"/>
              <w:rPr>
                <w:color w:val="000000"/>
                <w:sz w:val="16"/>
                <w:szCs w:val="16"/>
                <w:lang w:eastAsia="es-MX"/>
              </w:rPr>
            </w:pPr>
            <w:r w:rsidRPr="00245045">
              <w:rPr>
                <w:sz w:val="16"/>
                <w:szCs w:val="16"/>
                <w:lang w:val="es-ES"/>
              </w:rPr>
              <w:t>1.1</w:t>
            </w:r>
          </w:p>
        </w:tc>
        <w:tc>
          <w:tcPr>
            <w:tcW w:w="911" w:type="dxa"/>
            <w:tcBorders>
              <w:left w:val="single" w:sz="4" w:space="0" w:color="auto"/>
            </w:tcBorders>
            <w:noWrap/>
            <w:vAlign w:val="center"/>
          </w:tcPr>
          <w:p w14:paraId="191A46D8" w14:textId="77777777" w:rsidR="00895E7B" w:rsidRPr="00245045" w:rsidRDefault="00895E7B" w:rsidP="0092772B">
            <w:pPr>
              <w:widowControl w:val="0"/>
              <w:jc w:val="center"/>
              <w:rPr>
                <w:color w:val="000000"/>
                <w:sz w:val="16"/>
                <w:szCs w:val="16"/>
                <w:lang w:eastAsia="es-MX"/>
              </w:rPr>
            </w:pPr>
            <w:r w:rsidRPr="00245045">
              <w:rPr>
                <w:sz w:val="16"/>
                <w:szCs w:val="16"/>
                <w:lang w:val="es-ES"/>
              </w:rPr>
              <w:t>2.2</w:t>
            </w:r>
          </w:p>
        </w:tc>
      </w:tr>
    </w:tbl>
    <w:p w14:paraId="01456E81" w14:textId="77777777" w:rsidR="00895E7B" w:rsidRPr="00C93231" w:rsidRDefault="00895E7B" w:rsidP="00895E7B">
      <w:pPr>
        <w:pStyle w:val="pie"/>
        <w:spacing w:after="0"/>
        <w:ind w:left="709" w:right="57" w:hanging="604"/>
        <w:rPr>
          <w:lang w:val="es-MX"/>
        </w:rPr>
      </w:pPr>
      <w:r w:rsidRPr="00C93231">
        <w:rPr>
          <w:lang w:val="es-MX"/>
        </w:rPr>
        <w:t>Nota:</w:t>
      </w:r>
      <w:r w:rsidRPr="00C93231">
        <w:rPr>
          <w:lang w:val="es-MX"/>
        </w:rPr>
        <w:tab/>
        <w:t>Intervalos de confianza a 95</w:t>
      </w:r>
      <w:r>
        <w:rPr>
          <w:lang w:val="es-MX"/>
        </w:rPr>
        <w:t>.0</w:t>
      </w:r>
      <w:r w:rsidRPr="00C93231">
        <w:rPr>
          <w:lang w:val="es-MX"/>
        </w:rPr>
        <w:t xml:space="preserve"> por ciento.</w:t>
      </w:r>
    </w:p>
    <w:p w14:paraId="5FACEF5A" w14:textId="77777777" w:rsidR="00895E7B" w:rsidRPr="00C93231" w:rsidRDefault="00895E7B" w:rsidP="00895E7B">
      <w:pPr>
        <w:pStyle w:val="pie"/>
        <w:spacing w:after="0"/>
        <w:ind w:left="709" w:right="57" w:hanging="604"/>
        <w:rPr>
          <w:lang w:val="es-MX"/>
        </w:rPr>
      </w:pPr>
      <w:r w:rsidRPr="00C93231">
        <w:rPr>
          <w:vertAlign w:val="superscript"/>
          <w:lang w:val="es-MX"/>
        </w:rPr>
        <w:t>1</w:t>
      </w:r>
      <w:r>
        <w:rPr>
          <w:vertAlign w:val="superscript"/>
          <w:lang w:val="es-MX"/>
        </w:rPr>
        <w:t>/</w:t>
      </w:r>
      <w:r w:rsidRPr="00C93231">
        <w:rPr>
          <w:vertAlign w:val="superscript"/>
          <w:lang w:val="es-MX"/>
        </w:rPr>
        <w:tab/>
      </w:r>
      <w:r w:rsidRPr="00C93231">
        <w:rPr>
          <w:lang w:val="es-MX"/>
        </w:rPr>
        <w:t>Estimación oportuna que aprovecha la asociación estadística entre la variable que se desea estimar —en este caso, el</w:t>
      </w:r>
      <w:r>
        <w:rPr>
          <w:lang w:val="es-MX"/>
        </w:rPr>
        <w:t xml:space="preserve"> Indicador Global de la Actividad Económica</w:t>
      </w:r>
      <w:r w:rsidRPr="00C93231">
        <w:rPr>
          <w:lang w:val="es-MX"/>
        </w:rPr>
        <w:t xml:space="preserve"> </w:t>
      </w:r>
      <w:r>
        <w:rPr>
          <w:lang w:val="es-MX"/>
        </w:rPr>
        <w:t>(</w:t>
      </w:r>
      <w:r w:rsidRPr="00C93231">
        <w:rPr>
          <w:smallCaps/>
          <w:lang w:val="es-MX"/>
        </w:rPr>
        <w:t>igae</w:t>
      </w:r>
      <w:r>
        <w:rPr>
          <w:smallCaps/>
          <w:lang w:val="es-MX"/>
        </w:rPr>
        <w:t>)</w:t>
      </w:r>
      <w:r w:rsidRPr="00C93231">
        <w:rPr>
          <w:lang w:val="es-MX"/>
        </w:rPr>
        <w:t>— y otras variables más oportunas que esta.</w:t>
      </w:r>
    </w:p>
    <w:p w14:paraId="08673B26" w14:textId="77777777" w:rsidR="00895E7B" w:rsidRPr="00C93231" w:rsidRDefault="00895E7B" w:rsidP="00895E7B">
      <w:pPr>
        <w:pStyle w:val="pie"/>
        <w:spacing w:after="0"/>
        <w:ind w:left="709" w:right="57" w:hanging="604"/>
        <w:rPr>
          <w:lang w:val="es-MX"/>
        </w:rPr>
      </w:pPr>
      <w:r w:rsidRPr="003F4C81">
        <w:rPr>
          <w:vertAlign w:val="superscript"/>
          <w:lang w:val="es-MX"/>
        </w:rPr>
        <w:t>2</w:t>
      </w:r>
      <w:r>
        <w:rPr>
          <w:vertAlign w:val="superscript"/>
          <w:lang w:val="es-MX"/>
        </w:rPr>
        <w:t>/</w:t>
      </w:r>
      <w:r w:rsidRPr="00C93231">
        <w:rPr>
          <w:lang w:val="es-MX"/>
        </w:rPr>
        <w:tab/>
        <w:t>Se considera como valor observado según el Indicador Mensual de la Actividad Industrial (</w:t>
      </w:r>
      <w:proofErr w:type="spellStart"/>
      <w:r w:rsidRPr="00C93231">
        <w:rPr>
          <w:smallCaps/>
          <w:lang w:val="es-MX"/>
        </w:rPr>
        <w:t>imai</w:t>
      </w:r>
      <w:proofErr w:type="spellEnd"/>
      <w:r w:rsidRPr="00C93231">
        <w:rPr>
          <w:lang w:val="es-MX"/>
        </w:rPr>
        <w:t>).</w:t>
      </w:r>
    </w:p>
    <w:p w14:paraId="7B54CB83" w14:textId="77777777" w:rsidR="00895E7B" w:rsidRPr="00C93231" w:rsidRDefault="00895E7B" w:rsidP="00895E7B">
      <w:pPr>
        <w:pStyle w:val="pie"/>
        <w:ind w:left="709" w:right="57" w:hanging="604"/>
        <w:rPr>
          <w:lang w:val="es-MX"/>
        </w:rPr>
      </w:pPr>
      <w:r w:rsidRPr="00C93231">
        <w:rPr>
          <w:lang w:val="es-MX"/>
        </w:rPr>
        <w:t>Fuente:</w:t>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smallCaps/>
          <w:lang w:val="es-MX"/>
        </w:rPr>
        <w:t xml:space="preserve">inegi. </w:t>
      </w:r>
      <w:r w:rsidRPr="000B4629">
        <w:rPr>
          <w:lang w:val="es-MX"/>
        </w:rPr>
        <w:t>Indicador Oportuno de la Actividad Económica</w:t>
      </w:r>
      <w:r w:rsidRPr="000B4629">
        <w:rPr>
          <w:smallCaps/>
          <w:lang w:val="es-MX"/>
        </w:rPr>
        <w:t xml:space="preserve"> (ioae)</w:t>
      </w:r>
      <w:r w:rsidRPr="00C93231">
        <w:rPr>
          <w:lang w:val="es-MX"/>
        </w:rPr>
        <w:t xml:space="preserve">. </w:t>
      </w:r>
      <w:r w:rsidRPr="00C93231">
        <w:rPr>
          <w:rStyle w:val="ui-provider"/>
          <w:lang w:val="es-MX"/>
        </w:rPr>
        <w:t>Cifras elaboradas mediante métodos econométricos, 2024.</w:t>
      </w:r>
    </w:p>
    <w:p w14:paraId="7D2040A6" w14:textId="77777777" w:rsidR="00895E7B" w:rsidRDefault="00895E7B" w:rsidP="00895E7B">
      <w:pPr>
        <w:spacing w:before="360"/>
        <w:ind w:left="142" w:right="51"/>
        <w:jc w:val="center"/>
        <w:rPr>
          <w:bCs/>
          <w:snapToGrid w:val="0"/>
        </w:rPr>
      </w:pPr>
      <w:bookmarkStart w:id="0" w:name="_Hlk148955161"/>
      <w:bookmarkStart w:id="1" w:name="_Hlk151644455"/>
      <w:bookmarkStart w:id="2" w:name="_Hlk151468265"/>
      <w:bookmarkStart w:id="3" w:name="_Hlk165371171"/>
    </w:p>
    <w:p w14:paraId="1323950E" w14:textId="0DD69BB6" w:rsidR="00895E7B" w:rsidRPr="00895E7B" w:rsidRDefault="00895E7B" w:rsidP="00895E7B">
      <w:pPr>
        <w:spacing w:before="360"/>
        <w:ind w:left="142" w:right="51"/>
        <w:jc w:val="center"/>
        <w:rPr>
          <w:bCs/>
          <w:snapToGrid w:val="0"/>
        </w:rPr>
      </w:pPr>
      <w:r w:rsidRPr="00895E7B">
        <w:rPr>
          <w:bCs/>
          <w:snapToGrid w:val="0"/>
        </w:rPr>
        <w:t>Se anexa Nota técnica</w:t>
      </w:r>
      <w:bookmarkEnd w:id="0"/>
    </w:p>
    <w:p w14:paraId="5719FAAC" w14:textId="77777777" w:rsidR="00895E7B" w:rsidRPr="00895E7B" w:rsidRDefault="00895E7B" w:rsidP="00895E7B">
      <w:pPr>
        <w:pStyle w:val="NormalWeb"/>
        <w:ind w:left="-426" w:right="-518"/>
        <w:contextualSpacing/>
        <w:jc w:val="center"/>
        <w:rPr>
          <w:rFonts w:ascii="Arial" w:hAnsi="Arial" w:cs="Arial"/>
          <w:lang w:val="es-ES_tradnl"/>
        </w:rPr>
      </w:pPr>
      <w:bookmarkStart w:id="4" w:name="_Hlk147145049"/>
      <w:bookmarkStart w:id="5" w:name="_Hlk148018231"/>
      <w:bookmarkStart w:id="6" w:name="_Hlk148955175"/>
      <w:r w:rsidRPr="00895E7B">
        <w:rPr>
          <w:rFonts w:ascii="Arial" w:hAnsi="Arial" w:cs="Arial"/>
          <w:lang w:val="es-ES_tradnl"/>
        </w:rPr>
        <w:t xml:space="preserve">Para consultas de medios y periodistas, escribir a: </w:t>
      </w:r>
      <w:hyperlink r:id="rId11" w:history="1">
        <w:r w:rsidRPr="00895E7B">
          <w:rPr>
            <w:rStyle w:val="Hipervnculo"/>
            <w:rFonts w:ascii="Arial" w:eastAsiaTheme="majorEastAsia" w:hAnsi="Arial" w:cs="Arial"/>
          </w:rPr>
          <w:t>comunicacionsocial@inegi.org.mx</w:t>
        </w:r>
      </w:hyperlink>
      <w:r w:rsidRPr="00895E7B">
        <w:rPr>
          <w:rFonts w:ascii="Arial" w:hAnsi="Arial" w:cs="Arial"/>
          <w:lang w:val="es-ES_tradnl"/>
        </w:rPr>
        <w:t xml:space="preserve">    </w:t>
      </w:r>
    </w:p>
    <w:p w14:paraId="1AB2885B" w14:textId="77777777" w:rsidR="00895E7B" w:rsidRPr="00895E7B" w:rsidRDefault="00895E7B" w:rsidP="00895E7B">
      <w:pPr>
        <w:pStyle w:val="NormalWeb"/>
        <w:spacing w:before="0" w:beforeAutospacing="0" w:after="0" w:afterAutospacing="0"/>
        <w:ind w:left="-426" w:right="-518"/>
        <w:contextualSpacing/>
        <w:jc w:val="center"/>
        <w:rPr>
          <w:rFonts w:ascii="Arial" w:hAnsi="Arial" w:cs="Arial"/>
          <w:lang w:val="es-ES_tradnl"/>
        </w:rPr>
      </w:pPr>
      <w:r w:rsidRPr="00895E7B">
        <w:rPr>
          <w:rFonts w:ascii="Arial" w:hAnsi="Arial" w:cs="Arial"/>
          <w:lang w:val="es-ES_tradnl"/>
        </w:rPr>
        <w:t>o llamar al teléfono (55) 52-78-10-00, extensiones 321064, 321134 y 321241.</w:t>
      </w:r>
    </w:p>
    <w:p w14:paraId="4E25C5CD" w14:textId="77777777" w:rsidR="00895E7B" w:rsidRPr="00895E7B" w:rsidRDefault="00895E7B" w:rsidP="00895E7B">
      <w:pPr>
        <w:pStyle w:val="NormalWeb"/>
        <w:spacing w:before="0" w:beforeAutospacing="0" w:after="0" w:afterAutospacing="0"/>
        <w:ind w:left="-426" w:right="-518"/>
        <w:contextualSpacing/>
        <w:jc w:val="center"/>
        <w:rPr>
          <w:rFonts w:ascii="Arial" w:hAnsi="Arial" w:cs="Arial"/>
        </w:rPr>
      </w:pPr>
      <w:r w:rsidRPr="00895E7B">
        <w:rPr>
          <w:rFonts w:ascii="Arial" w:hAnsi="Arial" w:cs="Arial"/>
        </w:rPr>
        <w:t>Dirección de Atención a Medios / Dirección General Adjunta de Comunicación</w:t>
      </w:r>
    </w:p>
    <w:p w14:paraId="1A2232E6" w14:textId="77777777" w:rsidR="00895E7B" w:rsidRPr="00895E7B" w:rsidRDefault="00895E7B" w:rsidP="00895E7B">
      <w:pPr>
        <w:pStyle w:val="NormalWeb"/>
        <w:spacing w:before="0" w:beforeAutospacing="0" w:after="0" w:afterAutospacing="0"/>
        <w:ind w:left="-426" w:right="-518"/>
        <w:contextualSpacing/>
        <w:jc w:val="center"/>
        <w:rPr>
          <w:rFonts w:ascii="Arial" w:hAnsi="Arial" w:cs="Arial"/>
        </w:rPr>
      </w:pPr>
    </w:p>
    <w:p w14:paraId="2D076AD6" w14:textId="6205EBCE" w:rsidR="00895E7B" w:rsidRDefault="00895E7B" w:rsidP="00895E7B">
      <w:pPr>
        <w:pStyle w:val="Piedepgina"/>
        <w:jc w:val="center"/>
        <w:rPr>
          <w:noProof/>
          <w:lang w:eastAsia="es-MX"/>
        </w:rPr>
      </w:pPr>
      <w:r w:rsidRPr="00895E7B">
        <w:rPr>
          <w:noProof/>
          <w:lang w:eastAsia="es-MX"/>
        </w:rPr>
        <w:drawing>
          <wp:inline distT="0" distB="0" distL="0" distR="0" wp14:anchorId="27174FC3" wp14:editId="64926665">
            <wp:extent cx="372725" cy="360438"/>
            <wp:effectExtent l="0" t="0" r="0" b="0"/>
            <wp:docPr id="9" name="Imagen 9" descr="Icono&#10;&#10;Descripción generada automáticamen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895E7B">
        <w:rPr>
          <w:noProof/>
          <w:lang w:eastAsia="es-MX"/>
        </w:rPr>
        <w:t xml:space="preserve"> </w:t>
      </w:r>
      <w:r w:rsidRPr="00895E7B">
        <w:rPr>
          <w:noProof/>
          <w:lang w:eastAsia="es-MX"/>
        </w:rPr>
        <w:drawing>
          <wp:inline distT="0" distB="0" distL="0" distR="0" wp14:anchorId="0F459B30" wp14:editId="5584D955">
            <wp:extent cx="365760" cy="365760"/>
            <wp:effectExtent l="0" t="0" r="2540" b="2540"/>
            <wp:docPr id="2" name="Imagen 2" descr="Icono&#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895E7B">
        <w:rPr>
          <w:noProof/>
          <w:lang w:eastAsia="es-MX"/>
        </w:rPr>
        <w:t xml:space="preserve"> </w:t>
      </w:r>
      <w:r w:rsidRPr="00895E7B">
        <w:rPr>
          <w:noProof/>
          <w:lang w:eastAsia="es-MX"/>
        </w:rPr>
        <w:drawing>
          <wp:inline distT="0" distB="0" distL="0" distR="0" wp14:anchorId="6D992FAF" wp14:editId="2C5F0D10">
            <wp:extent cx="365760" cy="365760"/>
            <wp:effectExtent l="0" t="0" r="2540" b="2540"/>
            <wp:docPr id="4" name="Imagen 4" descr="Imagen que contiene objeto, reloj&#10;&#10;Descripción generada automáticamen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895E7B">
        <w:rPr>
          <w:noProof/>
          <w:lang w:eastAsia="es-MX"/>
        </w:rPr>
        <w:t xml:space="preserve"> </w:t>
      </w:r>
      <w:r w:rsidRPr="00895E7B">
        <w:rPr>
          <w:noProof/>
          <w:lang w:eastAsia="es-MX"/>
        </w:rPr>
        <w:drawing>
          <wp:inline distT="0" distB="0" distL="0" distR="0" wp14:anchorId="7D63E7DE" wp14:editId="75327929">
            <wp:extent cx="365760" cy="365760"/>
            <wp:effectExtent l="0" t="0" r="2540" b="2540"/>
            <wp:docPr id="1889603450" name="Imagen 1889603450" descr="Logotipo&#10;&#10;Descripción generada automáticamen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895E7B">
        <w:rPr>
          <w:noProof/>
          <w:lang w:eastAsia="es-MX"/>
        </w:rPr>
        <w:t xml:space="preserve">  </w:t>
      </w:r>
      <w:r w:rsidRPr="00895E7B">
        <w:rPr>
          <w:noProof/>
          <w:lang w:eastAsia="es-MX"/>
        </w:rPr>
        <w:drawing>
          <wp:inline distT="0" distB="0" distL="0" distR="0" wp14:anchorId="68881F13" wp14:editId="43D8F4C1">
            <wp:extent cx="1436914" cy="152592"/>
            <wp:effectExtent l="0" t="0" r="0" b="0"/>
            <wp:docPr id="33" name="Imagen 33" descr="Icono&#10;&#10;Descripción generada automáticament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bookmarkEnd w:id="4"/>
      <w:bookmarkEnd w:id="5"/>
      <w:r>
        <w:rPr>
          <w:noProof/>
          <w:lang w:eastAsia="es-MX"/>
        </w:rPr>
        <w:br w:type="page"/>
      </w:r>
    </w:p>
    <w:p w14:paraId="37535276" w14:textId="77777777" w:rsidR="00895E7B" w:rsidRDefault="00895E7B" w:rsidP="00895E7B">
      <w:pPr>
        <w:spacing w:before="120"/>
        <w:ind w:left="-425" w:right="-516"/>
        <w:contextualSpacing/>
        <w:jc w:val="center"/>
        <w:rPr>
          <w:b/>
          <w:bCs/>
          <w:noProof/>
          <w:lang w:eastAsia="es-MX"/>
        </w:rPr>
      </w:pPr>
      <w:bookmarkStart w:id="7" w:name="_Hlk155602562"/>
      <w:r w:rsidRPr="008F42F6">
        <w:rPr>
          <w:b/>
          <w:bCs/>
          <w:noProof/>
          <w:lang w:eastAsia="es-MX"/>
        </w:rPr>
        <w:lastRenderedPageBreak/>
        <w:t>NOTA TÉCNICA</w:t>
      </w:r>
    </w:p>
    <w:p w14:paraId="09F80F9A" w14:textId="77777777" w:rsidR="00895E7B" w:rsidRDefault="00895E7B" w:rsidP="00895E7B">
      <w:pPr>
        <w:spacing w:before="120"/>
        <w:ind w:left="-425" w:right="-516"/>
        <w:contextualSpacing/>
        <w:jc w:val="center"/>
        <w:rPr>
          <w:b/>
          <w:bCs/>
          <w:noProof/>
          <w:lang w:eastAsia="es-MX"/>
        </w:rPr>
      </w:pPr>
    </w:p>
    <w:p w14:paraId="7D70AF0E" w14:textId="7A3241EE" w:rsidR="00895E7B" w:rsidRPr="00895E7B" w:rsidRDefault="00895E7B" w:rsidP="00895E7B">
      <w:pPr>
        <w:jc w:val="center"/>
        <w:rPr>
          <w:rFonts w:ascii="Arial Negrita" w:hAnsi="Arial Negrita"/>
          <w:b/>
          <w:bCs/>
          <w:lang w:val="es-MX"/>
        </w:rPr>
      </w:pPr>
      <w:r w:rsidRPr="00895E7B">
        <w:rPr>
          <w:rFonts w:ascii="Arial Negrita" w:hAnsi="Arial Negrita"/>
          <w:b/>
          <w:bCs/>
          <w:lang w:val="es-MX"/>
        </w:rPr>
        <w:t>INDICADOR OPORTUNO DE LA ACTIVIDAD ECONÓMICA</w:t>
      </w:r>
    </w:p>
    <w:p w14:paraId="66F89E59" w14:textId="77777777" w:rsidR="00895E7B" w:rsidRPr="000104ED" w:rsidRDefault="00895E7B" w:rsidP="00895E7B">
      <w:pPr>
        <w:jc w:val="center"/>
        <w:rPr>
          <w:b/>
          <w:lang w:val="es-MX"/>
        </w:rPr>
      </w:pPr>
      <w:r>
        <w:rPr>
          <w:bCs/>
          <w:lang w:val="es-MX"/>
        </w:rPr>
        <w:t>Octubre</w:t>
      </w:r>
      <w:r w:rsidRPr="000104ED">
        <w:rPr>
          <w:b/>
          <w:lang w:val="es-MX"/>
        </w:rPr>
        <w:t xml:space="preserve"> </w:t>
      </w:r>
      <w:r w:rsidRPr="000104ED">
        <w:rPr>
          <w:bCs/>
          <w:lang w:val="es-MX"/>
        </w:rPr>
        <w:t>de 2024</w:t>
      </w:r>
    </w:p>
    <w:bookmarkEnd w:id="1"/>
    <w:bookmarkEnd w:id="2"/>
    <w:bookmarkEnd w:id="3"/>
    <w:bookmarkEnd w:id="6"/>
    <w:bookmarkEnd w:id="7"/>
    <w:p w14:paraId="4A667951" w14:textId="020A6D29" w:rsidR="00265514" w:rsidRDefault="00265514" w:rsidP="00A775C5">
      <w:pPr>
        <w:spacing w:before="480"/>
        <w:rPr>
          <w:lang w:val="es-MX"/>
        </w:rPr>
      </w:pPr>
      <w:r w:rsidRPr="0B50D185">
        <w:rPr>
          <w:lang w:val="es-MX"/>
        </w:rPr>
        <w:t>El Indicador Oportuno de la Actividad Económica (</w:t>
      </w:r>
      <w:r w:rsidR="008E7997" w:rsidRPr="008E7997">
        <w:rPr>
          <w:smallCaps/>
          <w:lang w:val="es-MX"/>
        </w:rPr>
        <w:t>ioae</w:t>
      </w:r>
      <w:r w:rsidRPr="0B50D185">
        <w:rPr>
          <w:lang w:val="es-MX"/>
        </w:rPr>
        <w:t xml:space="preserve">) permite contar con estimaciones </w:t>
      </w:r>
      <w:r>
        <w:t xml:space="preserve">econométricas oportunas sobre la evolución del </w:t>
      </w:r>
      <w:r w:rsidRPr="0B50D185">
        <w:rPr>
          <w:lang w:val="es-MX"/>
        </w:rPr>
        <w:t>Indicador Global de la Actividad Económica (</w:t>
      </w:r>
      <w:r w:rsidR="008E7997" w:rsidRPr="008E7997">
        <w:rPr>
          <w:smallCaps/>
          <w:lang w:val="es-MX"/>
        </w:rPr>
        <w:t>igae</w:t>
      </w:r>
      <w:r w:rsidRPr="0B50D185">
        <w:rPr>
          <w:lang w:val="es-MX"/>
        </w:rPr>
        <w:t>)</w:t>
      </w:r>
      <w:r>
        <w:t xml:space="preserve">. Así, </w:t>
      </w:r>
      <w:r w:rsidRPr="0B50D185">
        <w:rPr>
          <w:lang w:val="es-MX"/>
        </w:rPr>
        <w:t xml:space="preserve">mientras que el </w:t>
      </w:r>
      <w:r w:rsidR="008E7997" w:rsidRPr="008E7997">
        <w:rPr>
          <w:smallCaps/>
          <w:lang w:val="es-MX"/>
        </w:rPr>
        <w:t>igae</w:t>
      </w:r>
      <w:r w:rsidR="008E7997" w:rsidRPr="0B50D185">
        <w:rPr>
          <w:lang w:val="es-MX"/>
        </w:rPr>
        <w:t xml:space="preserve"> </w:t>
      </w:r>
      <w:r w:rsidRPr="0B50D185">
        <w:rPr>
          <w:lang w:val="es-MX"/>
        </w:rPr>
        <w:t xml:space="preserve">y sus actividades económicas se dan a conocer aproximadamente </w:t>
      </w:r>
      <w:r w:rsidR="00C446B1">
        <w:rPr>
          <w:lang w:val="es-MX"/>
        </w:rPr>
        <w:t>ocho</w:t>
      </w:r>
      <w:r w:rsidRPr="0B50D185">
        <w:rPr>
          <w:lang w:val="es-MX"/>
        </w:rPr>
        <w:t xml:space="preserve"> semanas después del mes de referencia, el </w:t>
      </w:r>
      <w:r w:rsidR="008E7997" w:rsidRPr="008E7997">
        <w:rPr>
          <w:smallCaps/>
          <w:lang w:val="es-MX"/>
        </w:rPr>
        <w:t>ioae</w:t>
      </w:r>
      <w:r w:rsidR="008E7997" w:rsidRPr="0B50D185">
        <w:rPr>
          <w:lang w:val="es-MX"/>
        </w:rPr>
        <w:t xml:space="preserve"> </w:t>
      </w:r>
      <w:r w:rsidRPr="0B50D185">
        <w:rPr>
          <w:lang w:val="es-MX"/>
        </w:rPr>
        <w:t xml:space="preserve">presenta sus estimaciones apenas </w:t>
      </w:r>
      <w:r w:rsidR="00C446B1">
        <w:rPr>
          <w:lang w:val="es-MX"/>
        </w:rPr>
        <w:t>tres</w:t>
      </w:r>
      <w:r w:rsidRPr="0B50D185">
        <w:rPr>
          <w:lang w:val="es-MX"/>
        </w:rPr>
        <w:t xml:space="preserve"> semanas después del cierre del mes</w:t>
      </w:r>
      <w:r w:rsidR="007D1A71">
        <w:rPr>
          <w:lang w:val="es-MX"/>
        </w:rPr>
        <w:t xml:space="preserve">. Con esto, se adelanta </w:t>
      </w:r>
      <w:r w:rsidR="00C446B1">
        <w:rPr>
          <w:lang w:val="es-MX"/>
        </w:rPr>
        <w:t>cinco</w:t>
      </w:r>
      <w:r w:rsidRPr="0B50D185">
        <w:rPr>
          <w:lang w:val="es-MX"/>
        </w:rPr>
        <w:t xml:space="preserve"> semanas a la publicación de los datos oficiales.</w:t>
      </w:r>
    </w:p>
    <w:p w14:paraId="13167950" w14:textId="06A79632" w:rsidR="0019343E" w:rsidRDefault="0019343E" w:rsidP="00E645F5">
      <w:pPr>
        <w:spacing w:before="240"/>
        <w:rPr>
          <w:lang w:val="es-MX"/>
        </w:rPr>
      </w:pPr>
      <w:r w:rsidRPr="0019343E">
        <w:rPr>
          <w:lang w:val="es-MX"/>
        </w:rPr>
        <w:t xml:space="preserve">Para </w:t>
      </w:r>
      <w:r w:rsidR="00B23C9D">
        <w:rPr>
          <w:lang w:val="es-MX"/>
        </w:rPr>
        <w:t>octubre</w:t>
      </w:r>
      <w:r w:rsidR="008F7929">
        <w:rPr>
          <w:lang w:val="es-MX"/>
        </w:rPr>
        <w:t xml:space="preserve"> </w:t>
      </w:r>
      <w:r w:rsidRPr="0019343E">
        <w:rPr>
          <w:lang w:val="es-MX"/>
        </w:rPr>
        <w:t xml:space="preserve">de 2024, el </w:t>
      </w:r>
      <w:r w:rsidR="009C1033" w:rsidRPr="009C1033">
        <w:rPr>
          <w:smallCaps/>
          <w:lang w:val="es-MX"/>
        </w:rPr>
        <w:t>ioae</w:t>
      </w:r>
      <w:r w:rsidR="009C1033" w:rsidRPr="0019343E">
        <w:rPr>
          <w:lang w:val="es-MX"/>
        </w:rPr>
        <w:t xml:space="preserve"> </w:t>
      </w:r>
      <w:r w:rsidRPr="0019343E">
        <w:rPr>
          <w:lang w:val="es-MX"/>
        </w:rPr>
        <w:t xml:space="preserve">estima una variación anual de </w:t>
      </w:r>
      <w:r w:rsidR="00A775C5">
        <w:rPr>
          <w:lang w:val="es-MX"/>
        </w:rPr>
        <w:t>0.</w:t>
      </w:r>
      <w:r w:rsidR="00245045">
        <w:rPr>
          <w:lang w:val="es-MX"/>
        </w:rPr>
        <w:t>4</w:t>
      </w:r>
      <w:r>
        <w:t> </w:t>
      </w:r>
      <w:r w:rsidRPr="0019343E">
        <w:rPr>
          <w:lang w:val="es-MX"/>
        </w:rPr>
        <w:t xml:space="preserve">% del </w:t>
      </w:r>
      <w:r w:rsidR="009C1033" w:rsidRPr="008E7997">
        <w:rPr>
          <w:smallCaps/>
          <w:lang w:val="es-MX"/>
        </w:rPr>
        <w:t>igae</w:t>
      </w:r>
      <w:r w:rsidRPr="0019343E">
        <w:rPr>
          <w:lang w:val="es-MX"/>
        </w:rPr>
        <w:t>. Las estimaciones presentan sus respectivos intervalos de confianza a 95</w:t>
      </w:r>
      <w:r w:rsidR="00F71C8F">
        <w:rPr>
          <w:lang w:val="es-MX"/>
        </w:rPr>
        <w:t>.0</w:t>
      </w:r>
      <w:r w:rsidR="004604C6" w:rsidRPr="00E65A9B">
        <w:rPr>
          <w:sz w:val="22"/>
          <w:szCs w:val="22"/>
        </w:rPr>
        <w:t> </w:t>
      </w:r>
      <w:r w:rsidRPr="0019343E">
        <w:rPr>
          <w:lang w:val="es-MX"/>
        </w:rPr>
        <w:t>%</w:t>
      </w:r>
      <w:r w:rsidR="00A56453">
        <w:rPr>
          <w:lang w:val="es-MX"/>
        </w:rPr>
        <w:t>,</w:t>
      </w:r>
      <w:r w:rsidRPr="0019343E">
        <w:rPr>
          <w:lang w:val="es-MX"/>
        </w:rPr>
        <w:t xml:space="preserve"> para</w:t>
      </w:r>
      <w:r w:rsidR="00AE5266">
        <w:rPr>
          <w:lang w:val="es-MX"/>
        </w:rPr>
        <w:t xml:space="preserve"> </w:t>
      </w:r>
      <w:r w:rsidR="00B23C9D">
        <w:rPr>
          <w:lang w:val="es-MX"/>
        </w:rPr>
        <w:t>septiembre</w:t>
      </w:r>
      <w:r w:rsidR="00AE5266">
        <w:rPr>
          <w:lang w:val="es-MX"/>
        </w:rPr>
        <w:t xml:space="preserve"> </w:t>
      </w:r>
      <w:r w:rsidRPr="0019343E">
        <w:rPr>
          <w:lang w:val="es-MX"/>
        </w:rPr>
        <w:t xml:space="preserve">y </w:t>
      </w:r>
      <w:r w:rsidR="00B23C9D">
        <w:rPr>
          <w:lang w:val="es-MX"/>
        </w:rPr>
        <w:t>octubre</w:t>
      </w:r>
      <w:r w:rsidR="008F7929">
        <w:rPr>
          <w:lang w:val="es-MX"/>
        </w:rPr>
        <w:t xml:space="preserve"> </w:t>
      </w:r>
      <w:r w:rsidRPr="0019343E">
        <w:rPr>
          <w:lang w:val="es-MX"/>
        </w:rPr>
        <w:t xml:space="preserve">de 2024. </w:t>
      </w:r>
      <w:r w:rsidR="00F7254C">
        <w:rPr>
          <w:lang w:val="es-MX"/>
        </w:rPr>
        <w:t>P</w:t>
      </w:r>
      <w:r w:rsidRPr="0019343E">
        <w:rPr>
          <w:lang w:val="es-MX"/>
        </w:rPr>
        <w:t xml:space="preserve">ara los grandes sectores de actividad del </w:t>
      </w:r>
      <w:r w:rsidR="009C1033" w:rsidRPr="008E7997">
        <w:rPr>
          <w:smallCaps/>
          <w:lang w:val="es-MX"/>
        </w:rPr>
        <w:t>igae</w:t>
      </w:r>
      <w:r w:rsidR="00A90756">
        <w:rPr>
          <w:smallCaps/>
          <w:lang w:val="es-MX"/>
        </w:rPr>
        <w:t>,</w:t>
      </w:r>
      <w:r w:rsidRPr="0019343E">
        <w:rPr>
          <w:lang w:val="es-MX"/>
        </w:rPr>
        <w:t xml:space="preserve"> se </w:t>
      </w:r>
      <w:r w:rsidR="00A90756">
        <w:rPr>
          <w:lang w:val="es-MX"/>
        </w:rPr>
        <w:t xml:space="preserve">espera </w:t>
      </w:r>
      <w:r w:rsidR="008F7929">
        <w:rPr>
          <w:lang w:val="es-MX"/>
        </w:rPr>
        <w:t>un</w:t>
      </w:r>
      <w:r w:rsidR="00A775C5">
        <w:rPr>
          <w:lang w:val="es-MX"/>
        </w:rPr>
        <w:t>a</w:t>
      </w:r>
      <w:r w:rsidR="008F7929">
        <w:rPr>
          <w:lang w:val="es-MX"/>
        </w:rPr>
        <w:t xml:space="preserve"> </w:t>
      </w:r>
      <w:r w:rsidR="00A775C5">
        <w:rPr>
          <w:lang w:val="es-MX"/>
        </w:rPr>
        <w:t>disminución</w:t>
      </w:r>
      <w:r w:rsidR="008F7929">
        <w:rPr>
          <w:lang w:val="es-MX"/>
        </w:rPr>
        <w:t xml:space="preserve"> de </w:t>
      </w:r>
      <w:r w:rsidR="00245045">
        <w:rPr>
          <w:lang w:val="es-MX"/>
        </w:rPr>
        <w:t>1.3</w:t>
      </w:r>
      <w:r w:rsidR="008F7929">
        <w:t> </w:t>
      </w:r>
      <w:r w:rsidR="008F7929" w:rsidRPr="0019343E">
        <w:rPr>
          <w:lang w:val="es-MX"/>
        </w:rPr>
        <w:t>%</w:t>
      </w:r>
      <w:r w:rsidR="008F7929">
        <w:rPr>
          <w:lang w:val="es-MX"/>
        </w:rPr>
        <w:t xml:space="preserve"> </w:t>
      </w:r>
      <w:r w:rsidR="00F96419">
        <w:rPr>
          <w:lang w:val="es-MX"/>
        </w:rPr>
        <w:t>en</w:t>
      </w:r>
      <w:r w:rsidRPr="0019343E">
        <w:rPr>
          <w:lang w:val="es-MX"/>
        </w:rPr>
        <w:t xml:space="preserve"> las secundarias y</w:t>
      </w:r>
      <w:r w:rsidR="00A90756">
        <w:rPr>
          <w:lang w:val="es-MX"/>
        </w:rPr>
        <w:t xml:space="preserve"> </w:t>
      </w:r>
      <w:r w:rsidR="00A775C5">
        <w:rPr>
          <w:lang w:val="es-MX"/>
        </w:rPr>
        <w:t>un aumento de</w:t>
      </w:r>
      <w:r w:rsidRPr="0019343E">
        <w:rPr>
          <w:lang w:val="es-MX"/>
        </w:rPr>
        <w:t xml:space="preserve"> </w:t>
      </w:r>
      <w:r w:rsidR="00245045">
        <w:rPr>
          <w:lang w:val="es-MX"/>
        </w:rPr>
        <w:t>1.1</w:t>
      </w:r>
      <w:r>
        <w:t> </w:t>
      </w:r>
      <w:r w:rsidRPr="0019343E">
        <w:rPr>
          <w:lang w:val="es-MX"/>
        </w:rPr>
        <w:t>%</w:t>
      </w:r>
      <w:r w:rsidR="00EC620C">
        <w:rPr>
          <w:lang w:val="es-MX"/>
        </w:rPr>
        <w:t>,</w:t>
      </w:r>
      <w:r w:rsidRPr="0019343E">
        <w:rPr>
          <w:lang w:val="es-MX"/>
        </w:rPr>
        <w:t xml:space="preserve"> en las terciarias. Las estimaciones se refieren a cifras desestacionalizadas.</w:t>
      </w:r>
    </w:p>
    <w:p w14:paraId="6B97F097" w14:textId="77777777" w:rsidR="00A43FDA" w:rsidRDefault="00A43FDA" w:rsidP="00E645F5">
      <w:pPr>
        <w:spacing w:before="240"/>
        <w:rPr>
          <w:lang w:val="es-MX"/>
        </w:rPr>
      </w:pPr>
    </w:p>
    <w:p w14:paraId="16176951" w14:textId="77777777" w:rsidR="00E645F5" w:rsidRPr="00B17F8A" w:rsidRDefault="00E645F5" w:rsidP="00E645F5">
      <w:pPr>
        <w:spacing w:before="240"/>
        <w:jc w:val="center"/>
        <w:rPr>
          <w:b/>
          <w:bCs/>
          <w:smallCaps/>
          <w:sz w:val="20"/>
          <w:szCs w:val="20"/>
        </w:rPr>
      </w:pPr>
      <w:r w:rsidRPr="00B17F8A">
        <w:rPr>
          <w:bCs/>
          <w:sz w:val="20"/>
          <w:szCs w:val="20"/>
        </w:rPr>
        <w:t xml:space="preserve">Cuadro </w:t>
      </w:r>
      <w:r>
        <w:rPr>
          <w:bCs/>
          <w:sz w:val="20"/>
          <w:szCs w:val="20"/>
        </w:rPr>
        <w:t>1</w:t>
      </w:r>
    </w:p>
    <w:p w14:paraId="1B2FF5C3" w14:textId="77777777" w:rsidR="00E645F5" w:rsidRDefault="00E645F5" w:rsidP="00E645F5">
      <w:pPr>
        <w:pStyle w:val="Titcuadrograf"/>
        <w:ind w:left="0"/>
        <w:rPr>
          <w:sz w:val="22"/>
          <w:szCs w:val="22"/>
        </w:rPr>
      </w:pPr>
      <w:r>
        <w:rPr>
          <w:sz w:val="22"/>
          <w:szCs w:val="22"/>
        </w:rPr>
        <w:t>variación del indicador oportuno</w:t>
      </w:r>
      <w:r w:rsidRPr="00E15E72">
        <w:rPr>
          <w:sz w:val="22"/>
          <w:szCs w:val="22"/>
        </w:rPr>
        <w:t xml:space="preserve"> </w:t>
      </w:r>
      <w:r>
        <w:rPr>
          <w:sz w:val="22"/>
          <w:szCs w:val="22"/>
        </w:rPr>
        <w:t>d</w:t>
      </w:r>
      <w:r w:rsidRPr="00E15E72">
        <w:rPr>
          <w:sz w:val="22"/>
          <w:szCs w:val="22"/>
        </w:rPr>
        <w:t>e</w:t>
      </w:r>
      <w:r>
        <w:rPr>
          <w:sz w:val="22"/>
          <w:szCs w:val="22"/>
        </w:rPr>
        <w:t xml:space="preserve"> </w:t>
      </w:r>
      <w:r w:rsidRPr="00E15E72">
        <w:rPr>
          <w:sz w:val="22"/>
          <w:szCs w:val="22"/>
        </w:rPr>
        <w:t>l</w:t>
      </w:r>
      <w:r>
        <w:rPr>
          <w:sz w:val="22"/>
          <w:szCs w:val="22"/>
        </w:rPr>
        <w:t>a actividad económica</w:t>
      </w:r>
      <w:r w:rsidRPr="00E15E72">
        <w:rPr>
          <w:sz w:val="22"/>
          <w:szCs w:val="22"/>
        </w:rPr>
        <w:t>,</w:t>
      </w:r>
    </w:p>
    <w:p w14:paraId="19F3E932" w14:textId="77777777" w:rsidR="00E645F5" w:rsidRPr="00E15E72" w:rsidRDefault="00E645F5" w:rsidP="00E645F5">
      <w:pPr>
        <w:pStyle w:val="Titcuadrograf"/>
        <w:ind w:left="0"/>
        <w:rPr>
          <w:sz w:val="22"/>
          <w:szCs w:val="22"/>
        </w:rPr>
      </w:pPr>
      <w:r w:rsidRPr="00E15E72">
        <w:rPr>
          <w:sz w:val="22"/>
          <w:szCs w:val="22"/>
        </w:rPr>
        <w:t>actividades secundarias y terciarias</w:t>
      </w:r>
    </w:p>
    <w:p w14:paraId="3D45F536" w14:textId="77777777" w:rsidR="00E645F5" w:rsidRPr="001622CD" w:rsidRDefault="00E645F5" w:rsidP="00E645F5">
      <w:pPr>
        <w:pStyle w:val="Titcuadrograf"/>
        <w:ind w:left="0"/>
        <w:rPr>
          <w:bCs/>
          <w:sz w:val="22"/>
          <w:szCs w:val="22"/>
        </w:rPr>
      </w:pPr>
      <w:r>
        <w:rPr>
          <w:bCs/>
          <w:sz w:val="20"/>
          <w:szCs w:val="20"/>
        </w:rPr>
        <w:t>modelos estimados con series</w:t>
      </w:r>
      <w:r w:rsidRPr="00177AEC">
        <w:rPr>
          <w:bCs/>
          <w:sz w:val="20"/>
          <w:szCs w:val="20"/>
        </w:rPr>
        <w:t xml:space="preserve"> desestacionalizadas</w:t>
      </w:r>
    </w:p>
    <w:p w14:paraId="3FDCEE7C" w14:textId="77777777" w:rsidR="00E645F5" w:rsidRPr="00F14FF8" w:rsidRDefault="00E645F5" w:rsidP="00E645F5">
      <w:pPr>
        <w:pStyle w:val="Titcuadrograf"/>
        <w:ind w:left="0"/>
        <w:rPr>
          <w:b w:val="0"/>
          <w:smallCaps w:val="0"/>
          <w:sz w:val="18"/>
          <w:szCs w:val="18"/>
        </w:rPr>
      </w:pPr>
      <w:r w:rsidRPr="00F14FF8">
        <w:rPr>
          <w:b w:val="0"/>
          <w:smallCaps w:val="0"/>
          <w:sz w:val="18"/>
          <w:szCs w:val="18"/>
        </w:rPr>
        <w:t>(</w:t>
      </w:r>
      <w:r>
        <w:rPr>
          <w:b w:val="0"/>
          <w:smallCaps w:val="0"/>
          <w:sz w:val="18"/>
          <w:szCs w:val="18"/>
        </w:rPr>
        <w:t>v</w:t>
      </w:r>
      <w:r w:rsidRPr="00F14FF8">
        <w:rPr>
          <w:b w:val="0"/>
          <w:smallCaps w:val="0"/>
          <w:sz w:val="18"/>
          <w:szCs w:val="18"/>
        </w:rPr>
        <w:t>ariación porcentual real respecto al mismo mes del año anterior)</w:t>
      </w:r>
    </w:p>
    <w:tbl>
      <w:tblPr>
        <w:tblW w:w="9888"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686"/>
        <w:gridCol w:w="912"/>
        <w:gridCol w:w="912"/>
        <w:gridCol w:w="912"/>
        <w:gridCol w:w="911"/>
        <w:gridCol w:w="911"/>
        <w:gridCol w:w="911"/>
        <w:gridCol w:w="911"/>
        <w:gridCol w:w="911"/>
        <w:gridCol w:w="911"/>
      </w:tblGrid>
      <w:tr w:rsidR="00E645F5" w:rsidRPr="0020223F" w14:paraId="42535D27" w14:textId="77777777" w:rsidTr="00994F4D">
        <w:trPr>
          <w:trHeight w:val="340"/>
          <w:jc w:val="center"/>
        </w:trPr>
        <w:tc>
          <w:tcPr>
            <w:tcW w:w="1686" w:type="dxa"/>
            <w:vMerge w:val="restart"/>
            <w:tcBorders>
              <w:right w:val="single" w:sz="4" w:space="0" w:color="auto"/>
            </w:tcBorders>
            <w:shd w:val="clear" w:color="auto" w:fill="D7E3BC"/>
            <w:noWrap/>
            <w:vAlign w:val="center"/>
            <w:hideMark/>
          </w:tcPr>
          <w:p w14:paraId="19B5EB08" w14:textId="77777777" w:rsidR="00E645F5" w:rsidRPr="00862F95" w:rsidRDefault="00E645F5" w:rsidP="00994F4D">
            <w:pPr>
              <w:jc w:val="center"/>
              <w:rPr>
                <w:color w:val="000000"/>
                <w:sz w:val="16"/>
                <w:szCs w:val="16"/>
                <w:lang w:val="es-MX" w:eastAsia="es-MX"/>
              </w:rPr>
            </w:pPr>
            <w:r>
              <w:rPr>
                <w:color w:val="000000"/>
                <w:sz w:val="16"/>
                <w:szCs w:val="16"/>
                <w:lang w:eastAsia="es-MX"/>
              </w:rPr>
              <w:t>Periodo</w:t>
            </w:r>
            <w:r w:rsidRPr="00862F95">
              <w:rPr>
                <w:color w:val="000000"/>
                <w:sz w:val="16"/>
                <w:szCs w:val="16"/>
                <w:lang w:eastAsia="es-MX"/>
              </w:rPr>
              <w:t xml:space="preserve"> de referencia</w:t>
            </w:r>
          </w:p>
        </w:tc>
        <w:tc>
          <w:tcPr>
            <w:tcW w:w="2736" w:type="dxa"/>
            <w:gridSpan w:val="3"/>
            <w:tcBorders>
              <w:left w:val="single" w:sz="4" w:space="0" w:color="auto"/>
              <w:bottom w:val="single" w:sz="4" w:space="0" w:color="auto"/>
              <w:right w:val="single" w:sz="4" w:space="0" w:color="auto"/>
            </w:tcBorders>
            <w:shd w:val="clear" w:color="auto" w:fill="D7E3BC"/>
            <w:noWrap/>
            <w:vAlign w:val="center"/>
            <w:hideMark/>
          </w:tcPr>
          <w:p w14:paraId="73065F87" w14:textId="77777777" w:rsidR="00E645F5" w:rsidRPr="009F3C12" w:rsidRDefault="00E645F5" w:rsidP="00994F4D">
            <w:pPr>
              <w:jc w:val="center"/>
              <w:rPr>
                <w:smallCaps/>
                <w:color w:val="000000"/>
                <w:sz w:val="16"/>
                <w:szCs w:val="16"/>
                <w:lang w:eastAsia="es-MX"/>
              </w:rPr>
            </w:pPr>
            <w:r w:rsidRPr="009F3C12">
              <w:rPr>
                <w:smallCaps/>
                <w:color w:val="000000"/>
                <w:sz w:val="16"/>
                <w:szCs w:val="16"/>
                <w:lang w:eastAsia="es-MX"/>
              </w:rPr>
              <w:t>IGAE</w:t>
            </w:r>
          </w:p>
        </w:tc>
        <w:tc>
          <w:tcPr>
            <w:tcW w:w="2733" w:type="dxa"/>
            <w:gridSpan w:val="3"/>
            <w:tcBorders>
              <w:left w:val="single" w:sz="4" w:space="0" w:color="auto"/>
              <w:bottom w:val="single" w:sz="4" w:space="0" w:color="auto"/>
              <w:right w:val="single" w:sz="4" w:space="0" w:color="auto"/>
            </w:tcBorders>
            <w:shd w:val="clear" w:color="auto" w:fill="D7E3BC"/>
            <w:noWrap/>
            <w:vAlign w:val="center"/>
            <w:hideMark/>
          </w:tcPr>
          <w:p w14:paraId="568BC523" w14:textId="77777777" w:rsidR="00E645F5" w:rsidRPr="00862F95" w:rsidRDefault="00E645F5" w:rsidP="00994F4D">
            <w:pPr>
              <w:jc w:val="center"/>
              <w:rPr>
                <w:color w:val="000000"/>
                <w:sz w:val="16"/>
                <w:szCs w:val="16"/>
                <w:lang w:eastAsia="es-MX"/>
              </w:rPr>
            </w:pPr>
            <w:r w:rsidRPr="00862F95">
              <w:rPr>
                <w:color w:val="000000"/>
                <w:sz w:val="16"/>
                <w:szCs w:val="16"/>
                <w:lang w:eastAsia="es-MX"/>
              </w:rPr>
              <w:t>Actividades secundarias</w:t>
            </w:r>
          </w:p>
        </w:tc>
        <w:tc>
          <w:tcPr>
            <w:tcW w:w="2733" w:type="dxa"/>
            <w:gridSpan w:val="3"/>
            <w:tcBorders>
              <w:left w:val="single" w:sz="4" w:space="0" w:color="auto"/>
              <w:bottom w:val="single" w:sz="4" w:space="0" w:color="auto"/>
            </w:tcBorders>
            <w:shd w:val="clear" w:color="auto" w:fill="D7E3BC"/>
            <w:noWrap/>
            <w:vAlign w:val="center"/>
            <w:hideMark/>
          </w:tcPr>
          <w:p w14:paraId="4B16BCBC" w14:textId="77777777" w:rsidR="00E645F5" w:rsidRPr="00862F95" w:rsidRDefault="00E645F5" w:rsidP="00994F4D">
            <w:pPr>
              <w:jc w:val="center"/>
              <w:rPr>
                <w:color w:val="000000"/>
                <w:sz w:val="16"/>
                <w:szCs w:val="16"/>
                <w:lang w:eastAsia="es-MX"/>
              </w:rPr>
            </w:pPr>
            <w:r w:rsidRPr="00862F95">
              <w:rPr>
                <w:color w:val="000000"/>
                <w:sz w:val="16"/>
                <w:szCs w:val="16"/>
                <w:lang w:eastAsia="es-MX"/>
              </w:rPr>
              <w:t>Actividades terciarias</w:t>
            </w:r>
          </w:p>
        </w:tc>
      </w:tr>
      <w:tr w:rsidR="00E645F5" w:rsidRPr="0020223F" w14:paraId="67360D5B" w14:textId="77777777" w:rsidTr="00994F4D">
        <w:trPr>
          <w:trHeight w:val="340"/>
          <w:jc w:val="center"/>
        </w:trPr>
        <w:tc>
          <w:tcPr>
            <w:tcW w:w="1686" w:type="dxa"/>
            <w:vMerge/>
            <w:tcBorders>
              <w:bottom w:val="single" w:sz="4" w:space="0" w:color="auto"/>
              <w:right w:val="single" w:sz="4" w:space="0" w:color="auto"/>
            </w:tcBorders>
            <w:shd w:val="clear" w:color="auto" w:fill="D7E3BC"/>
            <w:vAlign w:val="center"/>
            <w:hideMark/>
          </w:tcPr>
          <w:p w14:paraId="13296761" w14:textId="77777777" w:rsidR="00E645F5" w:rsidRPr="00862F95" w:rsidRDefault="00E645F5" w:rsidP="00994F4D">
            <w:pPr>
              <w:jc w:val="center"/>
              <w:rPr>
                <w:color w:val="000000"/>
                <w:sz w:val="16"/>
                <w:szCs w:val="16"/>
                <w:lang w:eastAsia="es-MX"/>
              </w:rPr>
            </w:pP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66FAF48" w14:textId="77777777" w:rsidR="00E645F5" w:rsidRPr="00862F95" w:rsidRDefault="00E645F5" w:rsidP="00994F4D">
            <w:pPr>
              <w:jc w:val="center"/>
              <w:rPr>
                <w:color w:val="000000"/>
                <w:sz w:val="16"/>
                <w:szCs w:val="16"/>
                <w:lang w:eastAsia="es-MX"/>
              </w:rPr>
            </w:pPr>
            <w:r w:rsidRPr="00862F95">
              <w:rPr>
                <w:color w:val="000000"/>
                <w:sz w:val="16"/>
                <w:szCs w:val="16"/>
                <w:lang w:eastAsia="es-MX"/>
              </w:rPr>
              <w:t>Inferior</w:t>
            </w: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5A43C16" w14:textId="357E2473" w:rsidR="00E645F5" w:rsidRPr="00C36079" w:rsidRDefault="00E645F5" w:rsidP="00994F4D">
            <w:pPr>
              <w:jc w:val="center"/>
              <w:rPr>
                <w:i/>
                <w:iCs/>
                <w:color w:val="000000"/>
                <w:sz w:val="16"/>
                <w:szCs w:val="16"/>
                <w:lang w:eastAsia="es-MX"/>
              </w:rPr>
            </w:pPr>
            <w:r w:rsidRPr="00C36079">
              <w:rPr>
                <w:i/>
                <w:iCs/>
                <w:color w:val="000000"/>
                <w:sz w:val="16"/>
                <w:szCs w:val="16"/>
                <w:lang w:eastAsia="es-MX"/>
              </w:rPr>
              <w:t>Nowca</w:t>
            </w:r>
            <w:r w:rsidR="003F4C81">
              <w:rPr>
                <w:i/>
                <w:iCs/>
                <w:color w:val="000000"/>
                <w:sz w:val="16"/>
                <w:szCs w:val="16"/>
                <w:lang w:eastAsia="es-MX"/>
              </w:rPr>
              <w:t>st</w:t>
            </w:r>
            <w:r w:rsidR="003F4C81" w:rsidRPr="00862F95">
              <w:rPr>
                <w:color w:val="000000"/>
                <w:sz w:val="16"/>
                <w:szCs w:val="16"/>
                <w:vertAlign w:val="superscript"/>
                <w:lang w:eastAsia="es-MX"/>
              </w:rPr>
              <w:t>1</w:t>
            </w:r>
            <w:r w:rsidR="001952A1">
              <w:rPr>
                <w:color w:val="000000"/>
                <w:sz w:val="16"/>
                <w:szCs w:val="16"/>
                <w:vertAlign w:val="superscript"/>
                <w:lang w:eastAsia="es-MX"/>
              </w:rPr>
              <w:t>/</w:t>
            </w: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8A21D84" w14:textId="77777777" w:rsidR="00E645F5" w:rsidRPr="00862F95" w:rsidRDefault="00E645F5" w:rsidP="00994F4D">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E531ECE" w14:textId="77777777" w:rsidR="00E645F5" w:rsidRPr="00862F95" w:rsidRDefault="00E645F5" w:rsidP="00994F4D">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5D1941D" w14:textId="43491BC1" w:rsidR="00E645F5" w:rsidRPr="00862F95" w:rsidRDefault="00E645F5" w:rsidP="00994F4D">
            <w:pPr>
              <w:jc w:val="center"/>
              <w:rPr>
                <w:color w:val="000000"/>
                <w:sz w:val="16"/>
                <w:szCs w:val="16"/>
                <w:lang w:eastAsia="es-MX"/>
              </w:rPr>
            </w:pPr>
            <w:r w:rsidRPr="00C36079">
              <w:rPr>
                <w:i/>
                <w:iCs/>
                <w:color w:val="000000"/>
                <w:sz w:val="16"/>
                <w:szCs w:val="16"/>
                <w:lang w:eastAsia="es-MX"/>
              </w:rPr>
              <w:t>Nowcast</w:t>
            </w:r>
            <w:r w:rsidRPr="00862F95">
              <w:rPr>
                <w:color w:val="000000"/>
                <w:sz w:val="16"/>
                <w:szCs w:val="16"/>
                <w:vertAlign w:val="superscript"/>
                <w:lang w:eastAsia="es-MX"/>
              </w:rPr>
              <w:t>1</w:t>
            </w:r>
            <w:r w:rsidR="001952A1">
              <w:rPr>
                <w:color w:val="000000"/>
                <w:sz w:val="16"/>
                <w:szCs w:val="16"/>
                <w:vertAlign w:val="superscript"/>
                <w:lang w:eastAsia="es-MX"/>
              </w:rPr>
              <w:t>/</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42BD6C2" w14:textId="77777777" w:rsidR="00E645F5" w:rsidRPr="00862F95" w:rsidRDefault="00E645F5" w:rsidP="00994F4D">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0DA891F" w14:textId="77777777" w:rsidR="00E645F5" w:rsidRPr="00862F95" w:rsidRDefault="00E645F5" w:rsidP="00994F4D">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ACB5064" w14:textId="66BA9BFE" w:rsidR="00E645F5" w:rsidRPr="00862F95" w:rsidRDefault="00E645F5" w:rsidP="00994F4D">
            <w:pPr>
              <w:jc w:val="center"/>
              <w:rPr>
                <w:color w:val="000000"/>
                <w:sz w:val="16"/>
                <w:szCs w:val="16"/>
                <w:lang w:eastAsia="es-MX"/>
              </w:rPr>
            </w:pPr>
            <w:r w:rsidRPr="00C36079">
              <w:rPr>
                <w:i/>
                <w:iCs/>
                <w:color w:val="000000"/>
                <w:sz w:val="16"/>
                <w:szCs w:val="16"/>
                <w:lang w:eastAsia="es-MX"/>
              </w:rPr>
              <w:t>Nowcast</w:t>
            </w:r>
            <w:r w:rsidRPr="00862F95">
              <w:rPr>
                <w:color w:val="000000"/>
                <w:sz w:val="16"/>
                <w:szCs w:val="16"/>
                <w:vertAlign w:val="superscript"/>
                <w:lang w:eastAsia="es-MX"/>
              </w:rPr>
              <w:t>1</w:t>
            </w:r>
            <w:r w:rsidR="001952A1">
              <w:rPr>
                <w:color w:val="000000"/>
                <w:sz w:val="16"/>
                <w:szCs w:val="16"/>
                <w:vertAlign w:val="superscript"/>
                <w:lang w:eastAsia="es-MX"/>
              </w:rPr>
              <w:t>/</w:t>
            </w:r>
          </w:p>
        </w:tc>
        <w:tc>
          <w:tcPr>
            <w:tcW w:w="911" w:type="dxa"/>
            <w:tcBorders>
              <w:top w:val="single" w:sz="4" w:space="0" w:color="auto"/>
              <w:left w:val="single" w:sz="4" w:space="0" w:color="auto"/>
              <w:bottom w:val="single" w:sz="4" w:space="0" w:color="auto"/>
            </w:tcBorders>
            <w:shd w:val="clear" w:color="auto" w:fill="D7E3BC"/>
            <w:noWrap/>
            <w:vAlign w:val="center"/>
            <w:hideMark/>
          </w:tcPr>
          <w:p w14:paraId="04D7D5E9" w14:textId="77777777" w:rsidR="00E645F5" w:rsidRPr="00862F95" w:rsidRDefault="00E645F5" w:rsidP="00994F4D">
            <w:pPr>
              <w:jc w:val="center"/>
              <w:rPr>
                <w:color w:val="000000"/>
                <w:sz w:val="16"/>
                <w:szCs w:val="16"/>
                <w:lang w:eastAsia="es-MX"/>
              </w:rPr>
            </w:pPr>
            <w:r w:rsidRPr="00862F95">
              <w:rPr>
                <w:color w:val="000000"/>
                <w:sz w:val="16"/>
                <w:szCs w:val="16"/>
                <w:lang w:eastAsia="es-MX"/>
              </w:rPr>
              <w:t>Superior</w:t>
            </w:r>
          </w:p>
        </w:tc>
      </w:tr>
      <w:tr w:rsidR="00245045" w:rsidRPr="0020223F" w14:paraId="3645EA30" w14:textId="77777777" w:rsidTr="00994F4D">
        <w:trPr>
          <w:trHeight w:val="283"/>
          <w:jc w:val="center"/>
        </w:trPr>
        <w:tc>
          <w:tcPr>
            <w:tcW w:w="1686" w:type="dxa"/>
            <w:tcBorders>
              <w:top w:val="single" w:sz="4" w:space="0" w:color="auto"/>
              <w:right w:val="single" w:sz="4" w:space="0" w:color="auto"/>
            </w:tcBorders>
            <w:noWrap/>
            <w:vAlign w:val="center"/>
            <w:hideMark/>
          </w:tcPr>
          <w:p w14:paraId="1FAB415D" w14:textId="4B21622D" w:rsidR="00245045" w:rsidRPr="00A90756" w:rsidRDefault="00245045" w:rsidP="00245045">
            <w:pPr>
              <w:jc w:val="left"/>
              <w:rPr>
                <w:color w:val="000000"/>
                <w:sz w:val="16"/>
                <w:szCs w:val="16"/>
                <w:lang w:eastAsia="es-MX"/>
              </w:rPr>
            </w:pPr>
            <w:r>
              <w:rPr>
                <w:sz w:val="16"/>
                <w:szCs w:val="16"/>
              </w:rPr>
              <w:t xml:space="preserve">Septiembre </w:t>
            </w:r>
            <w:r w:rsidRPr="00A90756">
              <w:rPr>
                <w:sz w:val="16"/>
                <w:szCs w:val="16"/>
              </w:rPr>
              <w:t>de 2024</w:t>
            </w:r>
          </w:p>
        </w:tc>
        <w:tc>
          <w:tcPr>
            <w:tcW w:w="912" w:type="dxa"/>
            <w:tcBorders>
              <w:top w:val="single" w:sz="4" w:space="0" w:color="auto"/>
              <w:left w:val="single" w:sz="4" w:space="0" w:color="auto"/>
              <w:right w:val="single" w:sz="4" w:space="0" w:color="auto"/>
            </w:tcBorders>
            <w:noWrap/>
            <w:vAlign w:val="center"/>
            <w:hideMark/>
          </w:tcPr>
          <w:p w14:paraId="07F75672" w14:textId="1DBC77FA" w:rsidR="00245045" w:rsidRPr="00245045" w:rsidRDefault="00245045" w:rsidP="00245045">
            <w:pPr>
              <w:widowControl w:val="0"/>
              <w:jc w:val="center"/>
              <w:rPr>
                <w:color w:val="000000"/>
                <w:sz w:val="16"/>
                <w:szCs w:val="16"/>
                <w:lang w:eastAsia="es-MX"/>
              </w:rPr>
            </w:pPr>
            <w:r w:rsidRPr="00245045">
              <w:rPr>
                <w:sz w:val="16"/>
                <w:szCs w:val="16"/>
                <w:lang w:val="es-ES"/>
              </w:rPr>
              <w:t>-0.6</w:t>
            </w:r>
          </w:p>
        </w:tc>
        <w:tc>
          <w:tcPr>
            <w:tcW w:w="912" w:type="dxa"/>
            <w:tcBorders>
              <w:top w:val="single" w:sz="4" w:space="0" w:color="auto"/>
              <w:left w:val="single" w:sz="4" w:space="0" w:color="auto"/>
              <w:right w:val="single" w:sz="4" w:space="0" w:color="auto"/>
            </w:tcBorders>
            <w:noWrap/>
            <w:vAlign w:val="center"/>
            <w:hideMark/>
          </w:tcPr>
          <w:p w14:paraId="36BBF5BB" w14:textId="342B48BD" w:rsidR="00245045" w:rsidRPr="00245045" w:rsidRDefault="00245045" w:rsidP="00245045">
            <w:pPr>
              <w:widowControl w:val="0"/>
              <w:jc w:val="center"/>
              <w:rPr>
                <w:color w:val="000000"/>
                <w:sz w:val="16"/>
                <w:szCs w:val="16"/>
                <w:lang w:eastAsia="es-MX"/>
              </w:rPr>
            </w:pPr>
            <w:r w:rsidRPr="00245045">
              <w:rPr>
                <w:sz w:val="16"/>
                <w:szCs w:val="16"/>
                <w:lang w:val="es-ES"/>
              </w:rPr>
              <w:t>0.3</w:t>
            </w:r>
          </w:p>
        </w:tc>
        <w:tc>
          <w:tcPr>
            <w:tcW w:w="912" w:type="dxa"/>
            <w:tcBorders>
              <w:top w:val="single" w:sz="4" w:space="0" w:color="auto"/>
              <w:left w:val="single" w:sz="4" w:space="0" w:color="auto"/>
              <w:right w:val="single" w:sz="4" w:space="0" w:color="auto"/>
            </w:tcBorders>
            <w:noWrap/>
            <w:vAlign w:val="center"/>
            <w:hideMark/>
          </w:tcPr>
          <w:p w14:paraId="63CEE81D" w14:textId="37EBA23C" w:rsidR="00245045" w:rsidRPr="00245045" w:rsidRDefault="00245045" w:rsidP="00245045">
            <w:pPr>
              <w:widowControl w:val="0"/>
              <w:jc w:val="center"/>
              <w:rPr>
                <w:color w:val="000000"/>
                <w:sz w:val="16"/>
                <w:szCs w:val="16"/>
                <w:lang w:eastAsia="es-MX"/>
              </w:rPr>
            </w:pPr>
            <w:r w:rsidRPr="00245045">
              <w:rPr>
                <w:sz w:val="16"/>
                <w:szCs w:val="16"/>
                <w:lang w:val="es-ES"/>
              </w:rPr>
              <w:t>1.3</w:t>
            </w:r>
          </w:p>
        </w:tc>
        <w:tc>
          <w:tcPr>
            <w:tcW w:w="911" w:type="dxa"/>
            <w:tcBorders>
              <w:top w:val="single" w:sz="4" w:space="0" w:color="auto"/>
              <w:left w:val="single" w:sz="4" w:space="0" w:color="auto"/>
              <w:right w:val="single" w:sz="4" w:space="0" w:color="auto"/>
            </w:tcBorders>
            <w:noWrap/>
            <w:vAlign w:val="center"/>
          </w:tcPr>
          <w:p w14:paraId="13AB90EE" w14:textId="77777777" w:rsidR="00245045" w:rsidRPr="00245045" w:rsidRDefault="00245045" w:rsidP="00245045">
            <w:pPr>
              <w:widowControl w:val="0"/>
              <w:tabs>
                <w:tab w:val="decimal" w:pos="267"/>
              </w:tabs>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hideMark/>
          </w:tcPr>
          <w:p w14:paraId="37E3BF9F" w14:textId="7DB8AAC0" w:rsidR="00245045" w:rsidRPr="00245045" w:rsidRDefault="00245045" w:rsidP="00245045">
            <w:pPr>
              <w:widowControl w:val="0"/>
              <w:jc w:val="center"/>
              <w:rPr>
                <w:color w:val="000000"/>
                <w:sz w:val="16"/>
                <w:szCs w:val="16"/>
                <w:lang w:eastAsia="es-MX"/>
              </w:rPr>
            </w:pPr>
            <w:r w:rsidRPr="00245045">
              <w:rPr>
                <w:sz w:val="16"/>
                <w:szCs w:val="16"/>
                <w:lang w:val="es-ES"/>
              </w:rPr>
              <w:t>0.0</w:t>
            </w:r>
            <w:r w:rsidR="002C6088" w:rsidRPr="002C6088">
              <w:rPr>
                <w:sz w:val="16"/>
                <w:szCs w:val="16"/>
                <w:vertAlign w:val="superscript"/>
                <w:lang w:val="es-ES"/>
              </w:rPr>
              <w:t>2/</w:t>
            </w:r>
          </w:p>
        </w:tc>
        <w:tc>
          <w:tcPr>
            <w:tcW w:w="911" w:type="dxa"/>
            <w:tcBorders>
              <w:top w:val="single" w:sz="4" w:space="0" w:color="auto"/>
              <w:left w:val="single" w:sz="4" w:space="0" w:color="auto"/>
              <w:right w:val="single" w:sz="4" w:space="0" w:color="auto"/>
            </w:tcBorders>
            <w:noWrap/>
            <w:vAlign w:val="center"/>
          </w:tcPr>
          <w:p w14:paraId="373B0357" w14:textId="77777777" w:rsidR="00245045" w:rsidRPr="00245045" w:rsidRDefault="00245045" w:rsidP="00245045">
            <w:pPr>
              <w:widowControl w:val="0"/>
              <w:tabs>
                <w:tab w:val="decimal" w:pos="267"/>
              </w:tabs>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tcPr>
          <w:p w14:paraId="6DFBEC81" w14:textId="6A2C6B4D" w:rsidR="00245045" w:rsidRPr="00245045" w:rsidRDefault="00245045" w:rsidP="00245045">
            <w:pPr>
              <w:widowControl w:val="0"/>
              <w:jc w:val="center"/>
              <w:rPr>
                <w:color w:val="000000"/>
                <w:sz w:val="16"/>
                <w:szCs w:val="16"/>
                <w:lang w:eastAsia="es-MX"/>
              </w:rPr>
            </w:pPr>
            <w:r w:rsidRPr="00245045">
              <w:rPr>
                <w:sz w:val="16"/>
                <w:szCs w:val="16"/>
                <w:lang w:val="es-ES"/>
              </w:rPr>
              <w:t>-0.7</w:t>
            </w:r>
          </w:p>
        </w:tc>
        <w:tc>
          <w:tcPr>
            <w:tcW w:w="911" w:type="dxa"/>
            <w:tcBorders>
              <w:top w:val="single" w:sz="4" w:space="0" w:color="auto"/>
              <w:left w:val="single" w:sz="4" w:space="0" w:color="auto"/>
              <w:right w:val="single" w:sz="4" w:space="0" w:color="auto"/>
            </w:tcBorders>
            <w:noWrap/>
            <w:vAlign w:val="center"/>
          </w:tcPr>
          <w:p w14:paraId="74AD1123" w14:textId="135600A9" w:rsidR="00245045" w:rsidRPr="00245045" w:rsidRDefault="00245045" w:rsidP="00245045">
            <w:pPr>
              <w:widowControl w:val="0"/>
              <w:jc w:val="center"/>
              <w:rPr>
                <w:color w:val="000000"/>
                <w:sz w:val="16"/>
                <w:szCs w:val="16"/>
                <w:lang w:eastAsia="es-MX"/>
              </w:rPr>
            </w:pPr>
            <w:r w:rsidRPr="00245045">
              <w:rPr>
                <w:sz w:val="16"/>
                <w:szCs w:val="16"/>
                <w:lang w:val="es-ES"/>
              </w:rPr>
              <w:t>0.4</w:t>
            </w:r>
          </w:p>
        </w:tc>
        <w:tc>
          <w:tcPr>
            <w:tcW w:w="911" w:type="dxa"/>
            <w:tcBorders>
              <w:top w:val="single" w:sz="4" w:space="0" w:color="auto"/>
              <w:left w:val="single" w:sz="4" w:space="0" w:color="auto"/>
            </w:tcBorders>
            <w:noWrap/>
            <w:vAlign w:val="center"/>
          </w:tcPr>
          <w:p w14:paraId="2E776AB8" w14:textId="4D2E3F3B" w:rsidR="00245045" w:rsidRPr="00245045" w:rsidRDefault="00245045" w:rsidP="00245045">
            <w:pPr>
              <w:widowControl w:val="0"/>
              <w:jc w:val="center"/>
              <w:rPr>
                <w:color w:val="000000"/>
                <w:sz w:val="16"/>
                <w:szCs w:val="16"/>
                <w:lang w:eastAsia="es-MX"/>
              </w:rPr>
            </w:pPr>
            <w:r w:rsidRPr="00245045">
              <w:rPr>
                <w:sz w:val="16"/>
                <w:szCs w:val="16"/>
                <w:lang w:val="es-ES"/>
              </w:rPr>
              <w:t>1.5</w:t>
            </w:r>
          </w:p>
        </w:tc>
      </w:tr>
      <w:tr w:rsidR="00245045" w:rsidRPr="0020223F" w14:paraId="1522509C" w14:textId="77777777" w:rsidTr="00994F4D">
        <w:trPr>
          <w:trHeight w:val="283"/>
          <w:jc w:val="center"/>
        </w:trPr>
        <w:tc>
          <w:tcPr>
            <w:tcW w:w="1686" w:type="dxa"/>
            <w:tcBorders>
              <w:right w:val="single" w:sz="4" w:space="0" w:color="auto"/>
            </w:tcBorders>
            <w:noWrap/>
            <w:vAlign w:val="center"/>
            <w:hideMark/>
          </w:tcPr>
          <w:p w14:paraId="33360902" w14:textId="26340779" w:rsidR="00245045" w:rsidRPr="00A90756" w:rsidRDefault="00245045" w:rsidP="00245045">
            <w:pPr>
              <w:jc w:val="left"/>
              <w:rPr>
                <w:color w:val="000000"/>
                <w:sz w:val="16"/>
                <w:szCs w:val="16"/>
                <w:lang w:eastAsia="es-MX"/>
              </w:rPr>
            </w:pPr>
            <w:r>
              <w:rPr>
                <w:sz w:val="16"/>
                <w:szCs w:val="16"/>
              </w:rPr>
              <w:t xml:space="preserve">Octubre </w:t>
            </w:r>
            <w:r w:rsidRPr="00A90756">
              <w:rPr>
                <w:sz w:val="16"/>
                <w:szCs w:val="16"/>
              </w:rPr>
              <w:t>de 2024</w:t>
            </w:r>
          </w:p>
        </w:tc>
        <w:tc>
          <w:tcPr>
            <w:tcW w:w="912" w:type="dxa"/>
            <w:tcBorders>
              <w:left w:val="single" w:sz="4" w:space="0" w:color="auto"/>
              <w:right w:val="single" w:sz="4" w:space="0" w:color="auto"/>
            </w:tcBorders>
            <w:noWrap/>
            <w:vAlign w:val="center"/>
            <w:hideMark/>
          </w:tcPr>
          <w:p w14:paraId="3B0455D6" w14:textId="6875DA15" w:rsidR="00245045" w:rsidRPr="00245045" w:rsidRDefault="00245045" w:rsidP="00245045">
            <w:pPr>
              <w:widowControl w:val="0"/>
              <w:jc w:val="center"/>
              <w:rPr>
                <w:color w:val="000000"/>
                <w:sz w:val="16"/>
                <w:szCs w:val="16"/>
                <w:lang w:eastAsia="es-MX"/>
              </w:rPr>
            </w:pPr>
            <w:r w:rsidRPr="00245045">
              <w:rPr>
                <w:sz w:val="16"/>
                <w:szCs w:val="16"/>
                <w:lang w:val="es-ES"/>
              </w:rPr>
              <w:t>-0.5</w:t>
            </w:r>
          </w:p>
        </w:tc>
        <w:tc>
          <w:tcPr>
            <w:tcW w:w="912" w:type="dxa"/>
            <w:tcBorders>
              <w:left w:val="single" w:sz="4" w:space="0" w:color="auto"/>
              <w:right w:val="single" w:sz="4" w:space="0" w:color="auto"/>
            </w:tcBorders>
            <w:noWrap/>
            <w:vAlign w:val="center"/>
            <w:hideMark/>
          </w:tcPr>
          <w:p w14:paraId="305DD0DA" w14:textId="00CBFD06" w:rsidR="00245045" w:rsidRPr="00245045" w:rsidRDefault="00245045" w:rsidP="00245045">
            <w:pPr>
              <w:widowControl w:val="0"/>
              <w:jc w:val="center"/>
              <w:rPr>
                <w:color w:val="000000"/>
                <w:sz w:val="16"/>
                <w:szCs w:val="16"/>
                <w:lang w:eastAsia="es-MX"/>
              </w:rPr>
            </w:pPr>
            <w:r w:rsidRPr="00245045">
              <w:rPr>
                <w:sz w:val="16"/>
                <w:szCs w:val="16"/>
                <w:lang w:val="es-ES"/>
              </w:rPr>
              <w:t>0.4</w:t>
            </w:r>
          </w:p>
        </w:tc>
        <w:tc>
          <w:tcPr>
            <w:tcW w:w="912" w:type="dxa"/>
            <w:tcBorders>
              <w:left w:val="single" w:sz="4" w:space="0" w:color="auto"/>
              <w:right w:val="single" w:sz="4" w:space="0" w:color="auto"/>
            </w:tcBorders>
            <w:shd w:val="clear" w:color="auto" w:fill="auto"/>
            <w:noWrap/>
            <w:vAlign w:val="center"/>
            <w:hideMark/>
          </w:tcPr>
          <w:p w14:paraId="1A221A6F" w14:textId="72C7814B" w:rsidR="00245045" w:rsidRPr="00245045" w:rsidRDefault="00245045" w:rsidP="00245045">
            <w:pPr>
              <w:widowControl w:val="0"/>
              <w:jc w:val="center"/>
              <w:rPr>
                <w:color w:val="000000"/>
                <w:sz w:val="16"/>
                <w:szCs w:val="16"/>
                <w:lang w:eastAsia="es-MX"/>
              </w:rPr>
            </w:pPr>
            <w:r w:rsidRPr="00245045">
              <w:rPr>
                <w:sz w:val="16"/>
                <w:szCs w:val="16"/>
                <w:lang w:val="es-ES"/>
              </w:rPr>
              <w:t>1.3</w:t>
            </w:r>
          </w:p>
        </w:tc>
        <w:tc>
          <w:tcPr>
            <w:tcW w:w="911" w:type="dxa"/>
            <w:tcBorders>
              <w:left w:val="single" w:sz="4" w:space="0" w:color="auto"/>
              <w:right w:val="single" w:sz="4" w:space="0" w:color="auto"/>
            </w:tcBorders>
            <w:noWrap/>
            <w:vAlign w:val="center"/>
            <w:hideMark/>
          </w:tcPr>
          <w:p w14:paraId="295CC2A2" w14:textId="32F6F9C5" w:rsidR="00245045" w:rsidRPr="00245045" w:rsidRDefault="00245045" w:rsidP="00245045">
            <w:pPr>
              <w:widowControl w:val="0"/>
              <w:jc w:val="center"/>
              <w:rPr>
                <w:color w:val="000000"/>
                <w:sz w:val="16"/>
                <w:szCs w:val="16"/>
                <w:lang w:eastAsia="es-MX"/>
              </w:rPr>
            </w:pPr>
            <w:r w:rsidRPr="00245045">
              <w:rPr>
                <w:sz w:val="16"/>
                <w:szCs w:val="16"/>
                <w:lang w:val="es-ES"/>
              </w:rPr>
              <w:t>-3.7</w:t>
            </w:r>
          </w:p>
        </w:tc>
        <w:tc>
          <w:tcPr>
            <w:tcW w:w="911" w:type="dxa"/>
            <w:tcBorders>
              <w:left w:val="single" w:sz="4" w:space="0" w:color="auto"/>
              <w:right w:val="single" w:sz="4" w:space="0" w:color="auto"/>
            </w:tcBorders>
            <w:noWrap/>
            <w:vAlign w:val="center"/>
            <w:hideMark/>
          </w:tcPr>
          <w:p w14:paraId="66A37E11" w14:textId="6228E4AB" w:rsidR="00245045" w:rsidRPr="00245045" w:rsidRDefault="00245045" w:rsidP="00245045">
            <w:pPr>
              <w:widowControl w:val="0"/>
              <w:ind w:right="57"/>
              <w:jc w:val="center"/>
              <w:rPr>
                <w:color w:val="000000"/>
                <w:sz w:val="16"/>
                <w:szCs w:val="16"/>
                <w:lang w:eastAsia="es-MX"/>
              </w:rPr>
            </w:pPr>
            <w:r w:rsidRPr="00245045">
              <w:rPr>
                <w:sz w:val="16"/>
                <w:szCs w:val="16"/>
                <w:lang w:val="es-ES"/>
              </w:rPr>
              <w:t>-1.3</w:t>
            </w:r>
          </w:p>
        </w:tc>
        <w:tc>
          <w:tcPr>
            <w:tcW w:w="911" w:type="dxa"/>
            <w:tcBorders>
              <w:left w:val="single" w:sz="4" w:space="0" w:color="auto"/>
              <w:right w:val="single" w:sz="4" w:space="0" w:color="auto"/>
            </w:tcBorders>
            <w:noWrap/>
            <w:vAlign w:val="center"/>
            <w:hideMark/>
          </w:tcPr>
          <w:p w14:paraId="29283B60" w14:textId="11F18A18" w:rsidR="00245045" w:rsidRPr="00245045" w:rsidRDefault="00245045" w:rsidP="00245045">
            <w:pPr>
              <w:widowControl w:val="0"/>
              <w:jc w:val="center"/>
              <w:rPr>
                <w:color w:val="000000"/>
                <w:sz w:val="16"/>
                <w:szCs w:val="16"/>
                <w:lang w:eastAsia="es-MX"/>
              </w:rPr>
            </w:pPr>
            <w:r w:rsidRPr="00245045">
              <w:rPr>
                <w:sz w:val="16"/>
                <w:szCs w:val="16"/>
                <w:lang w:val="es-ES"/>
              </w:rPr>
              <w:t>1.1</w:t>
            </w:r>
          </w:p>
        </w:tc>
        <w:tc>
          <w:tcPr>
            <w:tcW w:w="911" w:type="dxa"/>
            <w:tcBorders>
              <w:left w:val="single" w:sz="4" w:space="0" w:color="auto"/>
              <w:right w:val="single" w:sz="4" w:space="0" w:color="auto"/>
            </w:tcBorders>
            <w:noWrap/>
            <w:vAlign w:val="center"/>
          </w:tcPr>
          <w:p w14:paraId="077AAC9E" w14:textId="3DE00288" w:rsidR="00245045" w:rsidRPr="00245045" w:rsidRDefault="00245045" w:rsidP="00245045">
            <w:pPr>
              <w:widowControl w:val="0"/>
              <w:jc w:val="center"/>
              <w:rPr>
                <w:color w:val="000000"/>
                <w:sz w:val="16"/>
                <w:szCs w:val="16"/>
                <w:lang w:eastAsia="es-MX"/>
              </w:rPr>
            </w:pPr>
            <w:r w:rsidRPr="00245045">
              <w:rPr>
                <w:sz w:val="16"/>
                <w:szCs w:val="16"/>
                <w:lang w:val="es-ES"/>
              </w:rPr>
              <w:t>-0.1</w:t>
            </w:r>
          </w:p>
        </w:tc>
        <w:tc>
          <w:tcPr>
            <w:tcW w:w="911" w:type="dxa"/>
            <w:tcBorders>
              <w:left w:val="single" w:sz="4" w:space="0" w:color="auto"/>
              <w:right w:val="single" w:sz="4" w:space="0" w:color="auto"/>
            </w:tcBorders>
            <w:noWrap/>
            <w:vAlign w:val="center"/>
          </w:tcPr>
          <w:p w14:paraId="083CDB9B" w14:textId="5757D9CD" w:rsidR="00245045" w:rsidRPr="00245045" w:rsidRDefault="00245045" w:rsidP="00245045">
            <w:pPr>
              <w:widowControl w:val="0"/>
              <w:jc w:val="center"/>
              <w:rPr>
                <w:color w:val="000000"/>
                <w:sz w:val="16"/>
                <w:szCs w:val="16"/>
                <w:lang w:eastAsia="es-MX"/>
              </w:rPr>
            </w:pPr>
            <w:r w:rsidRPr="00245045">
              <w:rPr>
                <w:sz w:val="16"/>
                <w:szCs w:val="16"/>
                <w:lang w:val="es-ES"/>
              </w:rPr>
              <w:t>1.1</w:t>
            </w:r>
          </w:p>
        </w:tc>
        <w:tc>
          <w:tcPr>
            <w:tcW w:w="911" w:type="dxa"/>
            <w:tcBorders>
              <w:left w:val="single" w:sz="4" w:space="0" w:color="auto"/>
            </w:tcBorders>
            <w:noWrap/>
            <w:vAlign w:val="center"/>
          </w:tcPr>
          <w:p w14:paraId="21C1713F" w14:textId="4A735AF4" w:rsidR="00245045" w:rsidRPr="00245045" w:rsidRDefault="00245045" w:rsidP="00245045">
            <w:pPr>
              <w:widowControl w:val="0"/>
              <w:jc w:val="center"/>
              <w:rPr>
                <w:color w:val="000000"/>
                <w:sz w:val="16"/>
                <w:szCs w:val="16"/>
                <w:lang w:eastAsia="es-MX"/>
              </w:rPr>
            </w:pPr>
            <w:r w:rsidRPr="00245045">
              <w:rPr>
                <w:sz w:val="16"/>
                <w:szCs w:val="16"/>
                <w:lang w:val="es-ES"/>
              </w:rPr>
              <w:t>2.2</w:t>
            </w:r>
          </w:p>
        </w:tc>
      </w:tr>
    </w:tbl>
    <w:p w14:paraId="607B3887" w14:textId="698EA621" w:rsidR="00E645F5" w:rsidRPr="00C93231" w:rsidRDefault="00E645F5" w:rsidP="003D4492">
      <w:pPr>
        <w:pStyle w:val="pie"/>
        <w:spacing w:after="0"/>
        <w:ind w:left="709" w:right="57" w:hanging="604"/>
        <w:rPr>
          <w:lang w:val="es-MX"/>
        </w:rPr>
      </w:pPr>
      <w:r w:rsidRPr="00C93231">
        <w:rPr>
          <w:lang w:val="es-MX"/>
        </w:rPr>
        <w:t>Nota:</w:t>
      </w:r>
      <w:r w:rsidRPr="00C93231">
        <w:rPr>
          <w:lang w:val="es-MX"/>
        </w:rPr>
        <w:tab/>
        <w:t>Intervalos de confianza a 95</w:t>
      </w:r>
      <w:r w:rsidR="00F71C8F">
        <w:rPr>
          <w:lang w:val="es-MX"/>
        </w:rPr>
        <w:t>.0</w:t>
      </w:r>
      <w:r w:rsidRPr="00C93231">
        <w:rPr>
          <w:lang w:val="es-MX"/>
        </w:rPr>
        <w:t xml:space="preserve"> por ciento.</w:t>
      </w:r>
    </w:p>
    <w:p w14:paraId="7234744C" w14:textId="1FFF5A28" w:rsidR="00E645F5" w:rsidRPr="00C93231" w:rsidRDefault="00E645F5" w:rsidP="003D4492">
      <w:pPr>
        <w:pStyle w:val="pie"/>
        <w:spacing w:after="0"/>
        <w:ind w:left="709" w:right="57" w:hanging="604"/>
        <w:rPr>
          <w:lang w:val="es-MX"/>
        </w:rPr>
      </w:pPr>
      <w:r w:rsidRPr="00C93231">
        <w:rPr>
          <w:vertAlign w:val="superscript"/>
          <w:lang w:val="es-MX"/>
        </w:rPr>
        <w:t>1</w:t>
      </w:r>
      <w:r w:rsidR="001952A1">
        <w:rPr>
          <w:vertAlign w:val="superscript"/>
          <w:lang w:val="es-MX"/>
        </w:rPr>
        <w:t>/</w:t>
      </w:r>
      <w:r w:rsidRPr="00C93231">
        <w:rPr>
          <w:vertAlign w:val="superscript"/>
          <w:lang w:val="es-MX"/>
        </w:rPr>
        <w:tab/>
      </w:r>
      <w:r w:rsidRPr="00C93231">
        <w:rPr>
          <w:lang w:val="es-MX"/>
        </w:rPr>
        <w:t>Estimación oportuna que aprovecha la asociación estadística entre la variable que se desea estimar —en este caso, el</w:t>
      </w:r>
      <w:r w:rsidR="000B4629">
        <w:rPr>
          <w:lang w:val="es-MX"/>
        </w:rPr>
        <w:t xml:space="preserve"> Indicador Global de la Actividad Económica</w:t>
      </w:r>
      <w:r w:rsidRPr="00C93231">
        <w:rPr>
          <w:lang w:val="es-MX"/>
        </w:rPr>
        <w:t xml:space="preserve"> </w:t>
      </w:r>
      <w:r w:rsidR="000B4629">
        <w:rPr>
          <w:lang w:val="es-MX"/>
        </w:rPr>
        <w:t>(</w:t>
      </w:r>
      <w:r w:rsidRPr="00C93231">
        <w:rPr>
          <w:smallCaps/>
          <w:lang w:val="es-MX"/>
        </w:rPr>
        <w:t>igae</w:t>
      </w:r>
      <w:r w:rsidR="000B4629">
        <w:rPr>
          <w:smallCaps/>
          <w:lang w:val="es-MX"/>
        </w:rPr>
        <w:t>)</w:t>
      </w:r>
      <w:r w:rsidRPr="00C93231">
        <w:rPr>
          <w:lang w:val="es-MX"/>
        </w:rPr>
        <w:t>— y otras variables más oportunas que esta.</w:t>
      </w:r>
    </w:p>
    <w:p w14:paraId="615E7EF8" w14:textId="2232862D" w:rsidR="00E645F5" w:rsidRPr="00C93231" w:rsidRDefault="003F4C81" w:rsidP="003D4492">
      <w:pPr>
        <w:pStyle w:val="pie"/>
        <w:spacing w:after="0"/>
        <w:ind w:left="709" w:right="57" w:hanging="604"/>
        <w:rPr>
          <w:lang w:val="es-MX"/>
        </w:rPr>
      </w:pPr>
      <w:r w:rsidRPr="003F4C81">
        <w:rPr>
          <w:vertAlign w:val="superscript"/>
          <w:lang w:val="es-MX"/>
        </w:rPr>
        <w:t>2</w:t>
      </w:r>
      <w:r w:rsidR="001952A1">
        <w:rPr>
          <w:vertAlign w:val="superscript"/>
          <w:lang w:val="es-MX"/>
        </w:rPr>
        <w:t>/</w:t>
      </w:r>
      <w:r w:rsidR="00E645F5" w:rsidRPr="00C93231">
        <w:rPr>
          <w:lang w:val="es-MX"/>
        </w:rPr>
        <w:tab/>
        <w:t>Se considera como valor observado según el Indicador Mensual de la Actividad Industrial (</w:t>
      </w:r>
      <w:proofErr w:type="spellStart"/>
      <w:r w:rsidR="00E645F5" w:rsidRPr="00C93231">
        <w:rPr>
          <w:smallCaps/>
          <w:lang w:val="es-MX"/>
        </w:rPr>
        <w:t>imai</w:t>
      </w:r>
      <w:proofErr w:type="spellEnd"/>
      <w:r w:rsidR="00E645F5" w:rsidRPr="00C93231">
        <w:rPr>
          <w:lang w:val="es-MX"/>
        </w:rPr>
        <w:t>).</w:t>
      </w:r>
    </w:p>
    <w:p w14:paraId="0139D793" w14:textId="1C5E1175" w:rsidR="00E645F5" w:rsidRPr="00C93231" w:rsidRDefault="00E645F5" w:rsidP="003D4492">
      <w:pPr>
        <w:pStyle w:val="pie"/>
        <w:ind w:left="709" w:right="57" w:hanging="604"/>
        <w:rPr>
          <w:lang w:val="es-MX"/>
        </w:rPr>
      </w:pPr>
      <w:r w:rsidRPr="00C93231">
        <w:rPr>
          <w:lang w:val="es-MX"/>
        </w:rPr>
        <w:t>Fuente:</w:t>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lang w:val="es-MX"/>
        </w:rPr>
        <w:tab/>
      </w:r>
      <w:r w:rsidRPr="00C93231">
        <w:rPr>
          <w:smallCaps/>
          <w:lang w:val="es-MX"/>
        </w:rPr>
        <w:t xml:space="preserve">inegi. </w:t>
      </w:r>
      <w:r w:rsidR="000B4629" w:rsidRPr="000B4629">
        <w:rPr>
          <w:lang w:val="es-MX"/>
        </w:rPr>
        <w:t>Indicador Oportuno de la Actividad Económica</w:t>
      </w:r>
      <w:r w:rsidR="000B4629" w:rsidRPr="000B4629">
        <w:rPr>
          <w:smallCaps/>
          <w:lang w:val="es-MX"/>
        </w:rPr>
        <w:t xml:space="preserve"> (ioae)</w:t>
      </w:r>
      <w:r w:rsidRPr="00C93231">
        <w:rPr>
          <w:lang w:val="es-MX"/>
        </w:rPr>
        <w:t xml:space="preserve">. </w:t>
      </w:r>
      <w:r w:rsidRPr="00C93231">
        <w:rPr>
          <w:rStyle w:val="ui-provider"/>
          <w:lang w:val="es-MX"/>
        </w:rPr>
        <w:t>Cifras elaboradas mediante métodos econométricos, 2024.</w:t>
      </w:r>
    </w:p>
    <w:p w14:paraId="73866C32" w14:textId="2A487C9D" w:rsidR="00A43FDA" w:rsidRDefault="00F70853" w:rsidP="009C1033">
      <w:pPr>
        <w:spacing w:before="360"/>
      </w:pPr>
      <w:r>
        <w:t>Para</w:t>
      </w:r>
      <w:r w:rsidR="0019343E" w:rsidRPr="0019343E">
        <w:t xml:space="preserve"> </w:t>
      </w:r>
      <w:r w:rsidR="00B23C9D">
        <w:t>octubre</w:t>
      </w:r>
      <w:r w:rsidR="008F7929">
        <w:t xml:space="preserve"> </w:t>
      </w:r>
      <w:r w:rsidR="0019343E" w:rsidRPr="0019343E">
        <w:t xml:space="preserve">de </w:t>
      </w:r>
      <w:r>
        <w:t>este año</w:t>
      </w:r>
      <w:r w:rsidR="0019343E" w:rsidRPr="0019343E">
        <w:t xml:space="preserve">, el </w:t>
      </w:r>
      <w:r w:rsidR="009C1033" w:rsidRPr="009C1033">
        <w:rPr>
          <w:smallCaps/>
          <w:lang w:val="es-MX"/>
        </w:rPr>
        <w:t>ioae</w:t>
      </w:r>
      <w:r w:rsidR="009C1033" w:rsidRPr="0019343E">
        <w:rPr>
          <w:lang w:val="es-MX"/>
        </w:rPr>
        <w:t xml:space="preserve"> </w:t>
      </w:r>
      <w:r w:rsidR="0019343E" w:rsidRPr="0019343E">
        <w:t xml:space="preserve">estima </w:t>
      </w:r>
      <w:r w:rsidR="00F96419">
        <w:t>que</w:t>
      </w:r>
      <w:r w:rsidR="008F7929">
        <w:t xml:space="preserve"> </w:t>
      </w:r>
      <w:r w:rsidR="0019343E" w:rsidRPr="0019343E">
        <w:t xml:space="preserve">el </w:t>
      </w:r>
      <w:r w:rsidR="009C1033" w:rsidRPr="008E7997">
        <w:rPr>
          <w:smallCaps/>
          <w:lang w:val="es-MX"/>
        </w:rPr>
        <w:t>igae</w:t>
      </w:r>
      <w:r w:rsidR="00AE5266">
        <w:rPr>
          <w:smallCaps/>
          <w:lang w:val="es-MX"/>
        </w:rPr>
        <w:t xml:space="preserve"> </w:t>
      </w:r>
      <w:r w:rsidR="00245045">
        <w:rPr>
          <w:lang w:val="es-MX"/>
        </w:rPr>
        <w:t>descenderá</w:t>
      </w:r>
      <w:r w:rsidR="009353C2">
        <w:rPr>
          <w:lang w:val="es-MX"/>
        </w:rPr>
        <w:t xml:space="preserve"> </w:t>
      </w:r>
      <w:r w:rsidR="00245045">
        <w:t>0.1 </w:t>
      </w:r>
      <w:r w:rsidR="00245045" w:rsidRPr="0019343E">
        <w:t>%</w:t>
      </w:r>
      <w:r w:rsidR="00245045">
        <w:t xml:space="preserve"> en comparación</w:t>
      </w:r>
      <w:r w:rsidR="00245045" w:rsidRPr="0019343E">
        <w:t xml:space="preserve"> con</w:t>
      </w:r>
      <w:r w:rsidR="00245045">
        <w:t xml:space="preserve"> septiembre </w:t>
      </w:r>
      <w:r w:rsidR="00245045" w:rsidRPr="0019343E">
        <w:t>pasado</w:t>
      </w:r>
      <w:r w:rsidR="00245045">
        <w:t>. En</w:t>
      </w:r>
      <w:r w:rsidR="00245045">
        <w:rPr>
          <w:lang w:val="es-MX"/>
        </w:rPr>
        <w:t xml:space="preserve"> </w:t>
      </w:r>
      <w:r w:rsidR="00AE5266">
        <w:rPr>
          <w:lang w:val="es-MX"/>
        </w:rPr>
        <w:t xml:space="preserve">las actividades </w:t>
      </w:r>
      <w:r w:rsidR="00A76C1A">
        <w:rPr>
          <w:lang w:val="es-MX"/>
        </w:rPr>
        <w:t>secundarias</w:t>
      </w:r>
      <w:r w:rsidR="00245045">
        <w:rPr>
          <w:lang w:val="es-MX"/>
        </w:rPr>
        <w:t xml:space="preserve"> y</w:t>
      </w:r>
      <w:r w:rsidR="00A90756">
        <w:t xml:space="preserve"> </w:t>
      </w:r>
      <w:r w:rsidR="00004360">
        <w:t>terciarias</w:t>
      </w:r>
      <w:r w:rsidR="008064AA">
        <w:t xml:space="preserve"> se anticipa </w:t>
      </w:r>
      <w:r w:rsidR="00245045">
        <w:t>que no habrá variación mensual</w:t>
      </w:r>
      <w:r w:rsidR="00AB5FAE">
        <w:t>.</w:t>
      </w:r>
    </w:p>
    <w:p w14:paraId="39E15160" w14:textId="77777777" w:rsidR="00A43FDA" w:rsidRDefault="00A43FDA">
      <w:pPr>
        <w:jc w:val="left"/>
      </w:pPr>
      <w:r>
        <w:br w:type="page"/>
      </w:r>
    </w:p>
    <w:p w14:paraId="6158E4A5" w14:textId="77777777" w:rsidR="0019343E" w:rsidRDefault="0019343E" w:rsidP="009C1033">
      <w:pPr>
        <w:spacing w:before="360"/>
        <w:rPr>
          <w:b/>
          <w:smallCaps/>
        </w:rPr>
      </w:pPr>
    </w:p>
    <w:p w14:paraId="4A42D264" w14:textId="317F1647" w:rsidR="005856AF" w:rsidRPr="00B17F8A" w:rsidRDefault="005856AF" w:rsidP="009C1033">
      <w:pPr>
        <w:pStyle w:val="Titcuadrograf"/>
        <w:spacing w:before="240"/>
        <w:ind w:left="0"/>
        <w:rPr>
          <w:b w:val="0"/>
          <w:bCs/>
          <w:smallCaps w:val="0"/>
          <w:sz w:val="20"/>
          <w:szCs w:val="20"/>
        </w:rPr>
      </w:pPr>
      <w:r w:rsidRPr="00B17F8A">
        <w:rPr>
          <w:b w:val="0"/>
          <w:bCs/>
          <w:smallCaps w:val="0"/>
          <w:sz w:val="20"/>
          <w:szCs w:val="20"/>
        </w:rPr>
        <w:t xml:space="preserve">Cuadro </w:t>
      </w:r>
      <w:r>
        <w:rPr>
          <w:b w:val="0"/>
          <w:bCs/>
          <w:smallCaps w:val="0"/>
          <w:sz w:val="20"/>
          <w:szCs w:val="20"/>
        </w:rPr>
        <w:t>2</w:t>
      </w:r>
    </w:p>
    <w:p w14:paraId="128A7470" w14:textId="53CE48E2" w:rsidR="002F19C3" w:rsidRDefault="002F19C3" w:rsidP="005856AF">
      <w:pPr>
        <w:pStyle w:val="Titcuadrograf"/>
        <w:ind w:left="0"/>
        <w:rPr>
          <w:sz w:val="22"/>
          <w:szCs w:val="22"/>
        </w:rPr>
      </w:pPr>
      <w:r>
        <w:rPr>
          <w:sz w:val="22"/>
          <w:szCs w:val="22"/>
        </w:rPr>
        <w:t xml:space="preserve">variación del </w:t>
      </w:r>
      <w:r w:rsidR="00187383" w:rsidRPr="00674B83">
        <w:rPr>
          <w:sz w:val="22"/>
          <w:szCs w:val="22"/>
        </w:rPr>
        <w:t xml:space="preserve">indicador </w:t>
      </w:r>
      <w:r w:rsidR="00187383">
        <w:rPr>
          <w:sz w:val="22"/>
          <w:szCs w:val="22"/>
        </w:rPr>
        <w:t>o</w:t>
      </w:r>
      <w:r w:rsidR="00187383" w:rsidRPr="00674B83">
        <w:rPr>
          <w:sz w:val="22"/>
          <w:szCs w:val="22"/>
        </w:rPr>
        <w:t>portuno de</w:t>
      </w:r>
      <w:r w:rsidR="00187383">
        <w:rPr>
          <w:sz w:val="22"/>
          <w:szCs w:val="22"/>
        </w:rPr>
        <w:t xml:space="preserve"> </w:t>
      </w:r>
      <w:r w:rsidR="00187383" w:rsidRPr="00674B83">
        <w:rPr>
          <w:sz w:val="22"/>
          <w:szCs w:val="22"/>
        </w:rPr>
        <w:t>l</w:t>
      </w:r>
      <w:r w:rsidR="00187383">
        <w:rPr>
          <w:sz w:val="22"/>
          <w:szCs w:val="22"/>
        </w:rPr>
        <w:t>a actividad económica</w:t>
      </w:r>
      <w:r w:rsidR="00187383" w:rsidRPr="00674B83">
        <w:rPr>
          <w:sz w:val="22"/>
          <w:szCs w:val="22"/>
        </w:rPr>
        <w:t>,</w:t>
      </w:r>
    </w:p>
    <w:p w14:paraId="008E2ABC" w14:textId="2C03380F" w:rsidR="005856AF" w:rsidRPr="00E15E72" w:rsidRDefault="00187383" w:rsidP="005856AF">
      <w:pPr>
        <w:pStyle w:val="Titcuadrograf"/>
        <w:ind w:left="0"/>
        <w:rPr>
          <w:sz w:val="22"/>
          <w:szCs w:val="22"/>
        </w:rPr>
      </w:pPr>
      <w:r w:rsidRPr="00674B83">
        <w:rPr>
          <w:sz w:val="22"/>
          <w:szCs w:val="22"/>
        </w:rPr>
        <w:t>actividades secundarias y terciarias</w:t>
      </w:r>
    </w:p>
    <w:p w14:paraId="690A310E" w14:textId="0EC17061" w:rsidR="005856AF" w:rsidRPr="00177AEC" w:rsidRDefault="00187383" w:rsidP="005856AF">
      <w:pPr>
        <w:pStyle w:val="Titcuadrograf"/>
        <w:ind w:left="0"/>
        <w:rPr>
          <w:sz w:val="20"/>
          <w:szCs w:val="20"/>
        </w:rPr>
      </w:pPr>
      <w:r>
        <w:rPr>
          <w:bCs/>
          <w:sz w:val="20"/>
          <w:szCs w:val="20"/>
        </w:rPr>
        <w:t>modelos estimados con series</w:t>
      </w:r>
      <w:r w:rsidRPr="00177AEC">
        <w:rPr>
          <w:bCs/>
          <w:sz w:val="20"/>
          <w:szCs w:val="20"/>
        </w:rPr>
        <w:t xml:space="preserve"> </w:t>
      </w:r>
      <w:r w:rsidRPr="00177AEC">
        <w:rPr>
          <w:sz w:val="20"/>
          <w:szCs w:val="20"/>
        </w:rPr>
        <w:t>desestacionalizadas</w:t>
      </w:r>
    </w:p>
    <w:p w14:paraId="4708E038" w14:textId="045DAA7B" w:rsidR="005856AF" w:rsidRPr="00D4075F" w:rsidRDefault="005856AF" w:rsidP="005856AF">
      <w:pPr>
        <w:pStyle w:val="Titcuadrograf"/>
        <w:ind w:left="0"/>
        <w:rPr>
          <w:b w:val="0"/>
          <w:smallCaps w:val="0"/>
          <w:sz w:val="18"/>
          <w:szCs w:val="18"/>
        </w:rPr>
      </w:pPr>
      <w:r w:rsidRPr="00D4075F">
        <w:rPr>
          <w:b w:val="0"/>
          <w:smallCaps w:val="0"/>
          <w:sz w:val="18"/>
          <w:szCs w:val="18"/>
        </w:rPr>
        <w:t>(</w:t>
      </w:r>
      <w:r w:rsidR="0096254A">
        <w:rPr>
          <w:b w:val="0"/>
          <w:smallCaps w:val="0"/>
          <w:sz w:val="18"/>
          <w:szCs w:val="18"/>
        </w:rPr>
        <w:t>v</w:t>
      </w:r>
      <w:r w:rsidRPr="00D4075F">
        <w:rPr>
          <w:b w:val="0"/>
          <w:smallCaps w:val="0"/>
          <w:sz w:val="18"/>
          <w:szCs w:val="18"/>
        </w:rPr>
        <w:t>ariación porcentual real respecto al mes anterior)</w:t>
      </w:r>
    </w:p>
    <w:tbl>
      <w:tblPr>
        <w:tblW w:w="9888"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686"/>
        <w:gridCol w:w="912"/>
        <w:gridCol w:w="912"/>
        <w:gridCol w:w="912"/>
        <w:gridCol w:w="911"/>
        <w:gridCol w:w="911"/>
        <w:gridCol w:w="911"/>
        <w:gridCol w:w="911"/>
        <w:gridCol w:w="911"/>
        <w:gridCol w:w="911"/>
      </w:tblGrid>
      <w:tr w:rsidR="005856AF" w:rsidRPr="0020223F" w14:paraId="07C90B8D" w14:textId="77777777" w:rsidTr="00D73316">
        <w:trPr>
          <w:trHeight w:val="340"/>
          <w:jc w:val="center"/>
        </w:trPr>
        <w:tc>
          <w:tcPr>
            <w:tcW w:w="1686" w:type="dxa"/>
            <w:vMerge w:val="restart"/>
            <w:tcBorders>
              <w:right w:val="single" w:sz="4" w:space="0" w:color="auto"/>
            </w:tcBorders>
            <w:shd w:val="clear" w:color="auto" w:fill="D7E3BC"/>
            <w:noWrap/>
            <w:vAlign w:val="center"/>
            <w:hideMark/>
          </w:tcPr>
          <w:p w14:paraId="3A8EAC7F" w14:textId="4904FD35" w:rsidR="005856AF" w:rsidRPr="00862F95" w:rsidRDefault="004F72BC" w:rsidP="00081519">
            <w:pPr>
              <w:jc w:val="center"/>
              <w:rPr>
                <w:color w:val="000000"/>
                <w:sz w:val="16"/>
                <w:szCs w:val="16"/>
                <w:lang w:val="es-MX" w:eastAsia="es-MX"/>
              </w:rPr>
            </w:pPr>
            <w:r>
              <w:rPr>
                <w:color w:val="000000"/>
                <w:sz w:val="16"/>
                <w:szCs w:val="16"/>
                <w:lang w:eastAsia="es-MX"/>
              </w:rPr>
              <w:t>Periodo</w:t>
            </w:r>
            <w:r w:rsidR="005856AF" w:rsidRPr="00862F95">
              <w:rPr>
                <w:color w:val="000000"/>
                <w:sz w:val="16"/>
                <w:szCs w:val="16"/>
                <w:lang w:eastAsia="es-MX"/>
              </w:rPr>
              <w:t xml:space="preserve"> de referencia</w:t>
            </w:r>
          </w:p>
        </w:tc>
        <w:tc>
          <w:tcPr>
            <w:tcW w:w="2736" w:type="dxa"/>
            <w:gridSpan w:val="3"/>
            <w:tcBorders>
              <w:left w:val="single" w:sz="4" w:space="0" w:color="auto"/>
              <w:bottom w:val="single" w:sz="4" w:space="0" w:color="auto"/>
              <w:right w:val="single" w:sz="4" w:space="0" w:color="auto"/>
            </w:tcBorders>
            <w:shd w:val="clear" w:color="auto" w:fill="D7E3BC"/>
            <w:noWrap/>
            <w:vAlign w:val="center"/>
            <w:hideMark/>
          </w:tcPr>
          <w:p w14:paraId="0E7C4A0C" w14:textId="08D1984B" w:rsidR="005856AF" w:rsidRPr="00862F95" w:rsidRDefault="003C4A78" w:rsidP="00081519">
            <w:pPr>
              <w:jc w:val="center"/>
              <w:rPr>
                <w:color w:val="000000"/>
                <w:sz w:val="16"/>
                <w:szCs w:val="16"/>
                <w:lang w:eastAsia="es-MX"/>
              </w:rPr>
            </w:pPr>
            <w:r w:rsidRPr="009F3C12">
              <w:rPr>
                <w:smallCaps/>
                <w:color w:val="000000"/>
                <w:sz w:val="16"/>
                <w:szCs w:val="16"/>
                <w:lang w:eastAsia="es-MX"/>
              </w:rPr>
              <w:t>IGAE</w:t>
            </w:r>
          </w:p>
        </w:tc>
        <w:tc>
          <w:tcPr>
            <w:tcW w:w="2733" w:type="dxa"/>
            <w:gridSpan w:val="3"/>
            <w:tcBorders>
              <w:left w:val="single" w:sz="4" w:space="0" w:color="auto"/>
              <w:bottom w:val="single" w:sz="4" w:space="0" w:color="auto"/>
              <w:right w:val="single" w:sz="4" w:space="0" w:color="auto"/>
            </w:tcBorders>
            <w:shd w:val="clear" w:color="auto" w:fill="D7E3BC"/>
            <w:noWrap/>
            <w:vAlign w:val="center"/>
            <w:hideMark/>
          </w:tcPr>
          <w:p w14:paraId="513173E4" w14:textId="77777777" w:rsidR="005856AF" w:rsidRPr="00862F95" w:rsidRDefault="005856AF" w:rsidP="00081519">
            <w:pPr>
              <w:jc w:val="center"/>
              <w:rPr>
                <w:color w:val="000000"/>
                <w:sz w:val="16"/>
                <w:szCs w:val="16"/>
                <w:lang w:eastAsia="es-MX"/>
              </w:rPr>
            </w:pPr>
            <w:r w:rsidRPr="00862F95">
              <w:rPr>
                <w:color w:val="000000"/>
                <w:sz w:val="16"/>
                <w:szCs w:val="16"/>
                <w:lang w:eastAsia="es-MX"/>
              </w:rPr>
              <w:t>Actividades secundarias</w:t>
            </w:r>
          </w:p>
        </w:tc>
        <w:tc>
          <w:tcPr>
            <w:tcW w:w="2733" w:type="dxa"/>
            <w:gridSpan w:val="3"/>
            <w:tcBorders>
              <w:left w:val="single" w:sz="4" w:space="0" w:color="auto"/>
              <w:bottom w:val="single" w:sz="4" w:space="0" w:color="auto"/>
            </w:tcBorders>
            <w:shd w:val="clear" w:color="auto" w:fill="D7E3BC"/>
            <w:noWrap/>
            <w:vAlign w:val="center"/>
            <w:hideMark/>
          </w:tcPr>
          <w:p w14:paraId="7137E13E" w14:textId="77777777" w:rsidR="005856AF" w:rsidRPr="00862F95" w:rsidRDefault="005856AF" w:rsidP="00081519">
            <w:pPr>
              <w:jc w:val="center"/>
              <w:rPr>
                <w:color w:val="000000"/>
                <w:sz w:val="16"/>
                <w:szCs w:val="16"/>
                <w:lang w:eastAsia="es-MX"/>
              </w:rPr>
            </w:pPr>
            <w:r w:rsidRPr="00862F95">
              <w:rPr>
                <w:color w:val="000000"/>
                <w:sz w:val="16"/>
                <w:szCs w:val="16"/>
                <w:lang w:eastAsia="es-MX"/>
              </w:rPr>
              <w:t>Actividades terciarias</w:t>
            </w:r>
          </w:p>
        </w:tc>
      </w:tr>
      <w:tr w:rsidR="005856AF" w:rsidRPr="0020223F" w14:paraId="0CE50756" w14:textId="77777777" w:rsidTr="00D73316">
        <w:trPr>
          <w:trHeight w:val="340"/>
          <w:jc w:val="center"/>
        </w:trPr>
        <w:tc>
          <w:tcPr>
            <w:tcW w:w="1686" w:type="dxa"/>
            <w:vMerge/>
            <w:tcBorders>
              <w:bottom w:val="single" w:sz="4" w:space="0" w:color="auto"/>
              <w:right w:val="single" w:sz="4" w:space="0" w:color="auto"/>
            </w:tcBorders>
            <w:shd w:val="clear" w:color="auto" w:fill="D7E3BC"/>
            <w:vAlign w:val="center"/>
            <w:hideMark/>
          </w:tcPr>
          <w:p w14:paraId="46CCD5CC" w14:textId="77777777" w:rsidR="005856AF" w:rsidRPr="00862F95" w:rsidRDefault="005856AF" w:rsidP="00081519">
            <w:pPr>
              <w:jc w:val="center"/>
              <w:rPr>
                <w:color w:val="000000"/>
                <w:sz w:val="16"/>
                <w:szCs w:val="16"/>
                <w:lang w:eastAsia="es-MX"/>
              </w:rPr>
            </w:pP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B32C814" w14:textId="77777777" w:rsidR="005856AF" w:rsidRPr="00862F95" w:rsidRDefault="005856AF" w:rsidP="00081519">
            <w:pPr>
              <w:jc w:val="center"/>
              <w:rPr>
                <w:color w:val="000000"/>
                <w:sz w:val="16"/>
                <w:szCs w:val="16"/>
                <w:lang w:eastAsia="es-MX"/>
              </w:rPr>
            </w:pPr>
            <w:r w:rsidRPr="00862F95">
              <w:rPr>
                <w:color w:val="000000"/>
                <w:sz w:val="16"/>
                <w:szCs w:val="16"/>
                <w:lang w:eastAsia="es-MX"/>
              </w:rPr>
              <w:t>Inferior</w:t>
            </w: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632805B" w14:textId="31D65B53" w:rsidR="005856AF" w:rsidRPr="00C36079" w:rsidRDefault="005856AF" w:rsidP="00081519">
            <w:pPr>
              <w:jc w:val="center"/>
              <w:rPr>
                <w:i/>
                <w:iCs/>
                <w:color w:val="000000"/>
                <w:sz w:val="16"/>
                <w:szCs w:val="16"/>
                <w:lang w:eastAsia="es-MX"/>
              </w:rPr>
            </w:pPr>
            <w:r w:rsidRPr="00C36079">
              <w:rPr>
                <w:i/>
                <w:iCs/>
                <w:color w:val="000000"/>
                <w:sz w:val="16"/>
                <w:szCs w:val="16"/>
                <w:lang w:eastAsia="es-MX"/>
              </w:rPr>
              <w:t>Nowcast</w:t>
            </w:r>
            <w:r w:rsidR="00D43352" w:rsidRPr="00D43352">
              <w:rPr>
                <w:color w:val="000000"/>
                <w:sz w:val="16"/>
                <w:szCs w:val="16"/>
                <w:vertAlign w:val="superscript"/>
                <w:lang w:eastAsia="es-MX"/>
              </w:rPr>
              <w:t>1</w:t>
            </w:r>
            <w:r w:rsidR="001952A1">
              <w:rPr>
                <w:color w:val="000000"/>
                <w:sz w:val="16"/>
                <w:szCs w:val="16"/>
                <w:vertAlign w:val="superscript"/>
                <w:lang w:eastAsia="es-MX"/>
              </w:rPr>
              <w:t>/</w:t>
            </w: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A72FBC5" w14:textId="77777777" w:rsidR="005856AF" w:rsidRPr="00862F95" w:rsidRDefault="005856AF" w:rsidP="00081519">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831B72B" w14:textId="77777777" w:rsidR="005856AF" w:rsidRPr="00862F95" w:rsidRDefault="005856AF" w:rsidP="00081519">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64CB72D" w14:textId="077A44EA" w:rsidR="005856AF" w:rsidRPr="00C36079" w:rsidRDefault="005856AF" w:rsidP="00081519">
            <w:pPr>
              <w:jc w:val="center"/>
              <w:rPr>
                <w:i/>
                <w:iCs/>
                <w:color w:val="000000"/>
                <w:sz w:val="16"/>
                <w:szCs w:val="16"/>
                <w:lang w:eastAsia="es-MX"/>
              </w:rPr>
            </w:pPr>
            <w:r w:rsidRPr="00C36079">
              <w:rPr>
                <w:i/>
                <w:iCs/>
                <w:color w:val="000000"/>
                <w:sz w:val="16"/>
                <w:szCs w:val="16"/>
                <w:lang w:eastAsia="es-MX"/>
              </w:rPr>
              <w:t>Nowcast</w:t>
            </w:r>
            <w:r w:rsidR="00D43352" w:rsidRPr="00D43352">
              <w:rPr>
                <w:color w:val="000000"/>
                <w:sz w:val="16"/>
                <w:szCs w:val="16"/>
                <w:vertAlign w:val="superscript"/>
                <w:lang w:eastAsia="es-MX"/>
              </w:rPr>
              <w:t>1</w:t>
            </w:r>
            <w:r w:rsidR="001952A1">
              <w:rPr>
                <w:color w:val="000000"/>
                <w:sz w:val="16"/>
                <w:szCs w:val="16"/>
                <w:vertAlign w:val="superscript"/>
                <w:lang w:eastAsia="es-MX"/>
              </w:rPr>
              <w:t>/</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81C08ED" w14:textId="77777777" w:rsidR="005856AF" w:rsidRPr="00862F95" w:rsidRDefault="005856AF" w:rsidP="00081519">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68F1BD5" w14:textId="77777777" w:rsidR="005856AF" w:rsidRPr="00862F95" w:rsidRDefault="005856AF" w:rsidP="00081519">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B2B628B" w14:textId="78B27C9A" w:rsidR="005856AF" w:rsidRPr="00862F95" w:rsidRDefault="005856AF" w:rsidP="00081519">
            <w:pPr>
              <w:jc w:val="center"/>
              <w:rPr>
                <w:color w:val="000000"/>
                <w:sz w:val="16"/>
                <w:szCs w:val="16"/>
                <w:lang w:eastAsia="es-MX"/>
              </w:rPr>
            </w:pPr>
            <w:r w:rsidRPr="00C36079">
              <w:rPr>
                <w:i/>
                <w:iCs/>
                <w:color w:val="000000"/>
                <w:sz w:val="16"/>
                <w:szCs w:val="16"/>
                <w:lang w:eastAsia="es-MX"/>
              </w:rPr>
              <w:t>Nowcas</w:t>
            </w:r>
            <w:r w:rsidRPr="00862F95">
              <w:rPr>
                <w:color w:val="000000"/>
                <w:sz w:val="16"/>
                <w:szCs w:val="16"/>
                <w:lang w:eastAsia="es-MX"/>
              </w:rPr>
              <w:t>t</w:t>
            </w:r>
            <w:r w:rsidR="00D43352" w:rsidRPr="00D43352">
              <w:rPr>
                <w:color w:val="000000"/>
                <w:sz w:val="16"/>
                <w:szCs w:val="16"/>
                <w:vertAlign w:val="superscript"/>
                <w:lang w:eastAsia="es-MX"/>
              </w:rPr>
              <w:t>1</w:t>
            </w:r>
            <w:r w:rsidR="001952A1">
              <w:rPr>
                <w:color w:val="000000"/>
                <w:sz w:val="16"/>
                <w:szCs w:val="16"/>
                <w:vertAlign w:val="superscript"/>
                <w:lang w:eastAsia="es-MX"/>
              </w:rPr>
              <w:t>/</w:t>
            </w:r>
          </w:p>
        </w:tc>
        <w:tc>
          <w:tcPr>
            <w:tcW w:w="911" w:type="dxa"/>
            <w:tcBorders>
              <w:top w:val="single" w:sz="4" w:space="0" w:color="auto"/>
              <w:left w:val="single" w:sz="4" w:space="0" w:color="auto"/>
              <w:bottom w:val="single" w:sz="4" w:space="0" w:color="auto"/>
            </w:tcBorders>
            <w:shd w:val="clear" w:color="auto" w:fill="D7E3BC"/>
            <w:noWrap/>
            <w:vAlign w:val="center"/>
            <w:hideMark/>
          </w:tcPr>
          <w:p w14:paraId="0A702FC3" w14:textId="77777777" w:rsidR="005856AF" w:rsidRPr="00862F95" w:rsidRDefault="005856AF" w:rsidP="00081519">
            <w:pPr>
              <w:jc w:val="center"/>
              <w:rPr>
                <w:color w:val="000000"/>
                <w:sz w:val="16"/>
                <w:szCs w:val="16"/>
                <w:lang w:eastAsia="es-MX"/>
              </w:rPr>
            </w:pPr>
            <w:r w:rsidRPr="00862F95">
              <w:rPr>
                <w:color w:val="000000"/>
                <w:sz w:val="16"/>
                <w:szCs w:val="16"/>
                <w:lang w:eastAsia="es-MX"/>
              </w:rPr>
              <w:t>Superior</w:t>
            </w:r>
          </w:p>
        </w:tc>
      </w:tr>
      <w:tr w:rsidR="00245045" w:rsidRPr="0020223F" w14:paraId="287F8116" w14:textId="77777777" w:rsidTr="00D73316">
        <w:trPr>
          <w:trHeight w:val="283"/>
          <w:jc w:val="center"/>
        </w:trPr>
        <w:tc>
          <w:tcPr>
            <w:tcW w:w="1686" w:type="dxa"/>
            <w:tcBorders>
              <w:top w:val="single" w:sz="4" w:space="0" w:color="auto"/>
              <w:right w:val="single" w:sz="4" w:space="0" w:color="auto"/>
            </w:tcBorders>
            <w:noWrap/>
            <w:vAlign w:val="center"/>
            <w:hideMark/>
          </w:tcPr>
          <w:p w14:paraId="49572A42" w14:textId="140D114E" w:rsidR="00245045" w:rsidRPr="00A90756" w:rsidRDefault="00245045" w:rsidP="00245045">
            <w:pPr>
              <w:jc w:val="left"/>
              <w:rPr>
                <w:color w:val="000000"/>
                <w:sz w:val="16"/>
                <w:szCs w:val="16"/>
                <w:lang w:eastAsia="es-MX"/>
              </w:rPr>
            </w:pPr>
            <w:r>
              <w:rPr>
                <w:sz w:val="16"/>
                <w:szCs w:val="16"/>
              </w:rPr>
              <w:t xml:space="preserve">Septiembre </w:t>
            </w:r>
            <w:r w:rsidRPr="00A90756">
              <w:rPr>
                <w:sz w:val="16"/>
                <w:szCs w:val="16"/>
              </w:rPr>
              <w:t>de 2024</w:t>
            </w:r>
          </w:p>
        </w:tc>
        <w:tc>
          <w:tcPr>
            <w:tcW w:w="912" w:type="dxa"/>
            <w:tcBorders>
              <w:top w:val="single" w:sz="4" w:space="0" w:color="auto"/>
              <w:left w:val="single" w:sz="4" w:space="0" w:color="auto"/>
              <w:right w:val="single" w:sz="4" w:space="0" w:color="auto"/>
            </w:tcBorders>
            <w:noWrap/>
            <w:vAlign w:val="center"/>
          </w:tcPr>
          <w:p w14:paraId="2FFD12C6" w14:textId="6FA37D26" w:rsidR="00245045" w:rsidRPr="00245045" w:rsidRDefault="00245045" w:rsidP="00245045">
            <w:pPr>
              <w:ind w:right="-43"/>
              <w:jc w:val="center"/>
              <w:rPr>
                <w:color w:val="000000"/>
                <w:sz w:val="16"/>
                <w:szCs w:val="16"/>
                <w:lang w:eastAsia="es-MX"/>
              </w:rPr>
            </w:pPr>
            <w:r w:rsidRPr="00245045">
              <w:rPr>
                <w:sz w:val="16"/>
                <w:szCs w:val="16"/>
                <w:lang w:val="es-ES"/>
              </w:rPr>
              <w:t>-1.1</w:t>
            </w:r>
          </w:p>
        </w:tc>
        <w:tc>
          <w:tcPr>
            <w:tcW w:w="912" w:type="dxa"/>
            <w:tcBorders>
              <w:top w:val="single" w:sz="4" w:space="0" w:color="auto"/>
              <w:left w:val="single" w:sz="4" w:space="0" w:color="auto"/>
              <w:right w:val="single" w:sz="4" w:space="0" w:color="auto"/>
            </w:tcBorders>
            <w:noWrap/>
            <w:vAlign w:val="center"/>
          </w:tcPr>
          <w:p w14:paraId="1AC605E1" w14:textId="524F0B7A" w:rsidR="00245045" w:rsidRPr="00245045" w:rsidRDefault="00245045" w:rsidP="00245045">
            <w:pPr>
              <w:ind w:right="227"/>
              <w:jc w:val="right"/>
              <w:rPr>
                <w:color w:val="000000"/>
                <w:sz w:val="16"/>
                <w:szCs w:val="16"/>
                <w:lang w:eastAsia="es-MX"/>
              </w:rPr>
            </w:pPr>
            <w:r w:rsidRPr="00245045">
              <w:rPr>
                <w:sz w:val="16"/>
                <w:szCs w:val="16"/>
                <w:lang w:val="es-ES"/>
              </w:rPr>
              <w:t>-0.2</w:t>
            </w:r>
          </w:p>
        </w:tc>
        <w:tc>
          <w:tcPr>
            <w:tcW w:w="912" w:type="dxa"/>
            <w:tcBorders>
              <w:top w:val="single" w:sz="4" w:space="0" w:color="auto"/>
              <w:left w:val="single" w:sz="4" w:space="0" w:color="auto"/>
              <w:right w:val="single" w:sz="4" w:space="0" w:color="auto"/>
            </w:tcBorders>
            <w:noWrap/>
            <w:vAlign w:val="center"/>
          </w:tcPr>
          <w:p w14:paraId="39DC5B4F" w14:textId="4526ED5C" w:rsidR="00245045" w:rsidRPr="00245045" w:rsidRDefault="00245045" w:rsidP="00245045">
            <w:pPr>
              <w:jc w:val="center"/>
              <w:rPr>
                <w:color w:val="000000"/>
                <w:sz w:val="16"/>
                <w:szCs w:val="16"/>
                <w:lang w:eastAsia="es-MX"/>
              </w:rPr>
            </w:pPr>
            <w:r w:rsidRPr="00245045">
              <w:rPr>
                <w:sz w:val="16"/>
                <w:szCs w:val="16"/>
                <w:lang w:val="es-ES"/>
              </w:rPr>
              <w:t>0.8</w:t>
            </w:r>
          </w:p>
        </w:tc>
        <w:tc>
          <w:tcPr>
            <w:tcW w:w="911" w:type="dxa"/>
            <w:tcBorders>
              <w:top w:val="single" w:sz="4" w:space="0" w:color="auto"/>
              <w:left w:val="single" w:sz="4" w:space="0" w:color="auto"/>
              <w:right w:val="single" w:sz="4" w:space="0" w:color="auto"/>
            </w:tcBorders>
            <w:noWrap/>
            <w:vAlign w:val="center"/>
          </w:tcPr>
          <w:p w14:paraId="55A7C5FB" w14:textId="77777777" w:rsidR="00245045" w:rsidRPr="00245045" w:rsidRDefault="00245045" w:rsidP="00245045">
            <w:pPr>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tcPr>
          <w:p w14:paraId="206317AF" w14:textId="2D7EADFF" w:rsidR="00245045" w:rsidRPr="00245045" w:rsidRDefault="00245045" w:rsidP="00245045">
            <w:pPr>
              <w:tabs>
                <w:tab w:val="decimal" w:pos="365"/>
              </w:tabs>
              <w:jc w:val="left"/>
              <w:rPr>
                <w:color w:val="000000"/>
                <w:sz w:val="16"/>
                <w:szCs w:val="16"/>
                <w:lang w:eastAsia="es-MX"/>
              </w:rPr>
            </w:pPr>
            <w:r w:rsidRPr="00245045">
              <w:rPr>
                <w:sz w:val="16"/>
                <w:szCs w:val="16"/>
                <w:lang w:val="es-ES"/>
              </w:rPr>
              <w:t>0.6</w:t>
            </w:r>
            <w:r w:rsidR="002C6088" w:rsidRPr="002C6088">
              <w:rPr>
                <w:sz w:val="16"/>
                <w:szCs w:val="16"/>
                <w:vertAlign w:val="superscript"/>
                <w:lang w:val="es-ES"/>
              </w:rPr>
              <w:t>2/</w:t>
            </w:r>
          </w:p>
        </w:tc>
        <w:tc>
          <w:tcPr>
            <w:tcW w:w="911" w:type="dxa"/>
            <w:tcBorders>
              <w:top w:val="single" w:sz="4" w:space="0" w:color="auto"/>
              <w:left w:val="single" w:sz="4" w:space="0" w:color="auto"/>
              <w:right w:val="single" w:sz="4" w:space="0" w:color="auto"/>
            </w:tcBorders>
            <w:noWrap/>
            <w:vAlign w:val="center"/>
          </w:tcPr>
          <w:p w14:paraId="149064D3" w14:textId="77777777" w:rsidR="00245045" w:rsidRPr="00245045" w:rsidRDefault="00245045" w:rsidP="00245045">
            <w:pPr>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tcPr>
          <w:p w14:paraId="0278BABD" w14:textId="03F75AF0" w:rsidR="00245045" w:rsidRPr="00245045" w:rsidRDefault="00245045" w:rsidP="00245045">
            <w:pPr>
              <w:jc w:val="center"/>
              <w:rPr>
                <w:color w:val="000000"/>
                <w:sz w:val="16"/>
                <w:szCs w:val="16"/>
                <w:lang w:eastAsia="es-MX"/>
              </w:rPr>
            </w:pPr>
            <w:r w:rsidRPr="00245045">
              <w:rPr>
                <w:sz w:val="16"/>
                <w:szCs w:val="16"/>
                <w:lang w:val="es-ES"/>
              </w:rPr>
              <w:t>-1.8</w:t>
            </w:r>
          </w:p>
        </w:tc>
        <w:tc>
          <w:tcPr>
            <w:tcW w:w="911" w:type="dxa"/>
            <w:tcBorders>
              <w:top w:val="single" w:sz="4" w:space="0" w:color="auto"/>
              <w:left w:val="single" w:sz="4" w:space="0" w:color="auto"/>
              <w:right w:val="single" w:sz="4" w:space="0" w:color="auto"/>
            </w:tcBorders>
            <w:noWrap/>
            <w:vAlign w:val="center"/>
          </w:tcPr>
          <w:p w14:paraId="6CA08E18" w14:textId="178F2239" w:rsidR="00245045" w:rsidRPr="00245045" w:rsidRDefault="00245045" w:rsidP="00245045">
            <w:pPr>
              <w:ind w:right="227"/>
              <w:jc w:val="right"/>
              <w:rPr>
                <w:color w:val="000000"/>
                <w:sz w:val="16"/>
                <w:szCs w:val="16"/>
                <w:lang w:eastAsia="es-MX"/>
              </w:rPr>
            </w:pPr>
            <w:r w:rsidRPr="00245045">
              <w:rPr>
                <w:sz w:val="16"/>
                <w:szCs w:val="16"/>
                <w:lang w:val="es-ES"/>
              </w:rPr>
              <w:t>-0.7</w:t>
            </w:r>
          </w:p>
        </w:tc>
        <w:tc>
          <w:tcPr>
            <w:tcW w:w="911" w:type="dxa"/>
            <w:tcBorders>
              <w:top w:val="single" w:sz="4" w:space="0" w:color="auto"/>
              <w:left w:val="single" w:sz="4" w:space="0" w:color="auto"/>
            </w:tcBorders>
            <w:noWrap/>
            <w:vAlign w:val="center"/>
          </w:tcPr>
          <w:p w14:paraId="667819B7" w14:textId="249D3C2D" w:rsidR="00245045" w:rsidRPr="00245045" w:rsidRDefault="00245045" w:rsidP="00245045">
            <w:pPr>
              <w:jc w:val="center"/>
              <w:rPr>
                <w:color w:val="000000"/>
                <w:sz w:val="16"/>
                <w:szCs w:val="16"/>
                <w:lang w:eastAsia="es-MX"/>
              </w:rPr>
            </w:pPr>
            <w:r w:rsidRPr="00245045">
              <w:rPr>
                <w:sz w:val="16"/>
                <w:szCs w:val="16"/>
                <w:lang w:val="es-ES"/>
              </w:rPr>
              <w:t>0.4</w:t>
            </w:r>
          </w:p>
        </w:tc>
      </w:tr>
      <w:tr w:rsidR="00245045" w:rsidRPr="0020223F" w14:paraId="5734D3D9" w14:textId="77777777" w:rsidTr="00D73316">
        <w:trPr>
          <w:trHeight w:val="283"/>
          <w:jc w:val="center"/>
        </w:trPr>
        <w:tc>
          <w:tcPr>
            <w:tcW w:w="1686" w:type="dxa"/>
            <w:tcBorders>
              <w:right w:val="single" w:sz="4" w:space="0" w:color="auto"/>
            </w:tcBorders>
            <w:noWrap/>
            <w:vAlign w:val="center"/>
            <w:hideMark/>
          </w:tcPr>
          <w:p w14:paraId="3E87E948" w14:textId="4891CFF8" w:rsidR="00245045" w:rsidRPr="00A90756" w:rsidRDefault="00245045" w:rsidP="00245045">
            <w:pPr>
              <w:jc w:val="left"/>
              <w:rPr>
                <w:color w:val="000000"/>
                <w:sz w:val="16"/>
                <w:szCs w:val="16"/>
                <w:lang w:eastAsia="es-MX"/>
              </w:rPr>
            </w:pPr>
            <w:r>
              <w:rPr>
                <w:sz w:val="16"/>
                <w:szCs w:val="16"/>
              </w:rPr>
              <w:t xml:space="preserve">Octubre </w:t>
            </w:r>
            <w:r w:rsidRPr="00A90756">
              <w:rPr>
                <w:sz w:val="16"/>
                <w:szCs w:val="16"/>
              </w:rPr>
              <w:t>de 2024</w:t>
            </w:r>
          </w:p>
        </w:tc>
        <w:tc>
          <w:tcPr>
            <w:tcW w:w="912" w:type="dxa"/>
            <w:tcBorders>
              <w:left w:val="single" w:sz="4" w:space="0" w:color="auto"/>
              <w:right w:val="single" w:sz="4" w:space="0" w:color="auto"/>
            </w:tcBorders>
            <w:noWrap/>
            <w:vAlign w:val="center"/>
          </w:tcPr>
          <w:p w14:paraId="7F0D4326" w14:textId="7015730B" w:rsidR="00245045" w:rsidRPr="00245045" w:rsidRDefault="00245045" w:rsidP="00245045">
            <w:pPr>
              <w:jc w:val="center"/>
              <w:rPr>
                <w:color w:val="000000"/>
                <w:sz w:val="16"/>
                <w:szCs w:val="16"/>
                <w:lang w:eastAsia="es-MX"/>
              </w:rPr>
            </w:pPr>
            <w:r w:rsidRPr="00245045">
              <w:rPr>
                <w:sz w:val="16"/>
                <w:szCs w:val="16"/>
                <w:lang w:val="es-ES"/>
              </w:rPr>
              <w:t>-1.0</w:t>
            </w:r>
          </w:p>
        </w:tc>
        <w:tc>
          <w:tcPr>
            <w:tcW w:w="912" w:type="dxa"/>
            <w:tcBorders>
              <w:left w:val="single" w:sz="4" w:space="0" w:color="auto"/>
              <w:right w:val="single" w:sz="4" w:space="0" w:color="auto"/>
            </w:tcBorders>
            <w:noWrap/>
            <w:vAlign w:val="center"/>
          </w:tcPr>
          <w:p w14:paraId="3AD5FA66" w14:textId="3B2304D1" w:rsidR="00245045" w:rsidRPr="00245045" w:rsidRDefault="00245045" w:rsidP="00245045">
            <w:pPr>
              <w:ind w:right="227"/>
              <w:jc w:val="right"/>
              <w:rPr>
                <w:color w:val="000000"/>
                <w:sz w:val="16"/>
                <w:szCs w:val="16"/>
                <w:lang w:eastAsia="es-MX"/>
              </w:rPr>
            </w:pPr>
            <w:r w:rsidRPr="00245045">
              <w:rPr>
                <w:sz w:val="16"/>
                <w:szCs w:val="16"/>
                <w:lang w:val="es-ES"/>
              </w:rPr>
              <w:t>-0.1</w:t>
            </w:r>
          </w:p>
        </w:tc>
        <w:tc>
          <w:tcPr>
            <w:tcW w:w="912" w:type="dxa"/>
            <w:tcBorders>
              <w:left w:val="single" w:sz="4" w:space="0" w:color="auto"/>
              <w:right w:val="single" w:sz="4" w:space="0" w:color="auto"/>
            </w:tcBorders>
            <w:shd w:val="clear" w:color="auto" w:fill="auto"/>
            <w:noWrap/>
            <w:vAlign w:val="center"/>
          </w:tcPr>
          <w:p w14:paraId="3DF3DC9E" w14:textId="4AFC028B" w:rsidR="00245045" w:rsidRPr="00245045" w:rsidRDefault="00245045" w:rsidP="00245045">
            <w:pPr>
              <w:jc w:val="center"/>
              <w:rPr>
                <w:color w:val="000000"/>
                <w:sz w:val="16"/>
                <w:szCs w:val="16"/>
                <w:lang w:eastAsia="es-MX"/>
              </w:rPr>
            </w:pPr>
            <w:r w:rsidRPr="00245045">
              <w:rPr>
                <w:sz w:val="16"/>
                <w:szCs w:val="16"/>
                <w:lang w:val="es-ES"/>
              </w:rPr>
              <w:t>0.8</w:t>
            </w:r>
          </w:p>
        </w:tc>
        <w:tc>
          <w:tcPr>
            <w:tcW w:w="911" w:type="dxa"/>
            <w:tcBorders>
              <w:left w:val="single" w:sz="4" w:space="0" w:color="auto"/>
              <w:right w:val="single" w:sz="4" w:space="0" w:color="auto"/>
            </w:tcBorders>
            <w:noWrap/>
            <w:vAlign w:val="center"/>
          </w:tcPr>
          <w:p w14:paraId="4F6370C4" w14:textId="63DD21C1" w:rsidR="00245045" w:rsidRPr="00245045" w:rsidRDefault="00245045" w:rsidP="00245045">
            <w:pPr>
              <w:jc w:val="center"/>
              <w:rPr>
                <w:color w:val="000000"/>
                <w:sz w:val="16"/>
                <w:szCs w:val="16"/>
                <w:lang w:eastAsia="es-MX"/>
              </w:rPr>
            </w:pPr>
            <w:r w:rsidRPr="00245045">
              <w:rPr>
                <w:sz w:val="16"/>
                <w:szCs w:val="16"/>
                <w:lang w:val="es-ES"/>
              </w:rPr>
              <w:t>-2.5</w:t>
            </w:r>
          </w:p>
        </w:tc>
        <w:tc>
          <w:tcPr>
            <w:tcW w:w="911" w:type="dxa"/>
            <w:tcBorders>
              <w:left w:val="single" w:sz="4" w:space="0" w:color="auto"/>
              <w:right w:val="single" w:sz="4" w:space="0" w:color="auto"/>
            </w:tcBorders>
            <w:noWrap/>
            <w:vAlign w:val="center"/>
          </w:tcPr>
          <w:p w14:paraId="34E9E11A" w14:textId="78103FDC" w:rsidR="00245045" w:rsidRPr="00245045" w:rsidRDefault="00245045" w:rsidP="00245045">
            <w:pPr>
              <w:tabs>
                <w:tab w:val="decimal" w:pos="365"/>
              </w:tabs>
              <w:jc w:val="left"/>
              <w:rPr>
                <w:color w:val="000000"/>
                <w:sz w:val="16"/>
                <w:szCs w:val="16"/>
                <w:lang w:eastAsia="es-MX"/>
              </w:rPr>
            </w:pPr>
            <w:r w:rsidRPr="00245045">
              <w:rPr>
                <w:sz w:val="16"/>
                <w:szCs w:val="16"/>
                <w:lang w:val="es-ES"/>
              </w:rPr>
              <w:t>0.0</w:t>
            </w:r>
          </w:p>
        </w:tc>
        <w:tc>
          <w:tcPr>
            <w:tcW w:w="911" w:type="dxa"/>
            <w:tcBorders>
              <w:left w:val="single" w:sz="4" w:space="0" w:color="auto"/>
              <w:right w:val="single" w:sz="4" w:space="0" w:color="auto"/>
            </w:tcBorders>
            <w:noWrap/>
            <w:vAlign w:val="center"/>
          </w:tcPr>
          <w:p w14:paraId="0B6D6A61" w14:textId="0E24970D" w:rsidR="00245045" w:rsidRPr="00245045" w:rsidRDefault="00245045" w:rsidP="00245045">
            <w:pPr>
              <w:jc w:val="center"/>
              <w:rPr>
                <w:color w:val="000000"/>
                <w:sz w:val="16"/>
                <w:szCs w:val="16"/>
                <w:lang w:eastAsia="es-MX"/>
              </w:rPr>
            </w:pPr>
            <w:r w:rsidRPr="00245045">
              <w:rPr>
                <w:sz w:val="16"/>
                <w:szCs w:val="16"/>
                <w:lang w:val="es-ES"/>
              </w:rPr>
              <w:t>2.4</w:t>
            </w:r>
          </w:p>
        </w:tc>
        <w:tc>
          <w:tcPr>
            <w:tcW w:w="911" w:type="dxa"/>
            <w:tcBorders>
              <w:left w:val="single" w:sz="4" w:space="0" w:color="auto"/>
              <w:right w:val="single" w:sz="4" w:space="0" w:color="auto"/>
            </w:tcBorders>
            <w:noWrap/>
            <w:vAlign w:val="center"/>
          </w:tcPr>
          <w:p w14:paraId="7F96CD19" w14:textId="66CF8A33" w:rsidR="00245045" w:rsidRPr="00245045" w:rsidRDefault="00245045" w:rsidP="00245045">
            <w:pPr>
              <w:jc w:val="center"/>
              <w:rPr>
                <w:color w:val="000000"/>
                <w:sz w:val="16"/>
                <w:szCs w:val="16"/>
                <w:lang w:eastAsia="es-MX"/>
              </w:rPr>
            </w:pPr>
            <w:r w:rsidRPr="00245045">
              <w:rPr>
                <w:sz w:val="16"/>
                <w:szCs w:val="16"/>
                <w:lang w:val="es-ES"/>
              </w:rPr>
              <w:t>-1.1</w:t>
            </w:r>
          </w:p>
        </w:tc>
        <w:tc>
          <w:tcPr>
            <w:tcW w:w="911" w:type="dxa"/>
            <w:tcBorders>
              <w:left w:val="single" w:sz="4" w:space="0" w:color="auto"/>
              <w:right w:val="single" w:sz="4" w:space="0" w:color="auto"/>
            </w:tcBorders>
            <w:noWrap/>
            <w:vAlign w:val="center"/>
          </w:tcPr>
          <w:p w14:paraId="57472B52" w14:textId="6976E9DF" w:rsidR="00245045" w:rsidRPr="00245045" w:rsidRDefault="00245045" w:rsidP="00245045">
            <w:pPr>
              <w:ind w:right="227"/>
              <w:jc w:val="right"/>
              <w:rPr>
                <w:color w:val="000000"/>
                <w:sz w:val="16"/>
                <w:szCs w:val="16"/>
                <w:lang w:eastAsia="es-MX"/>
              </w:rPr>
            </w:pPr>
            <w:r w:rsidRPr="00245045">
              <w:rPr>
                <w:sz w:val="16"/>
                <w:szCs w:val="16"/>
                <w:lang w:val="es-ES"/>
              </w:rPr>
              <w:t>0.0</w:t>
            </w:r>
          </w:p>
        </w:tc>
        <w:tc>
          <w:tcPr>
            <w:tcW w:w="911" w:type="dxa"/>
            <w:tcBorders>
              <w:left w:val="single" w:sz="4" w:space="0" w:color="auto"/>
            </w:tcBorders>
            <w:noWrap/>
            <w:vAlign w:val="center"/>
          </w:tcPr>
          <w:p w14:paraId="6055D0B7" w14:textId="4B86DE90" w:rsidR="00245045" w:rsidRPr="00245045" w:rsidRDefault="00245045" w:rsidP="00245045">
            <w:pPr>
              <w:jc w:val="center"/>
              <w:rPr>
                <w:color w:val="000000"/>
                <w:sz w:val="16"/>
                <w:szCs w:val="16"/>
                <w:lang w:eastAsia="es-MX"/>
              </w:rPr>
            </w:pPr>
            <w:r w:rsidRPr="00245045">
              <w:rPr>
                <w:sz w:val="16"/>
                <w:szCs w:val="16"/>
                <w:lang w:val="es-ES"/>
              </w:rPr>
              <w:t>1.1</w:t>
            </w:r>
          </w:p>
        </w:tc>
      </w:tr>
    </w:tbl>
    <w:p w14:paraId="53D962DB" w14:textId="23394A53" w:rsidR="00F40EEA" w:rsidRPr="00D5238C" w:rsidRDefault="00F40EEA" w:rsidP="003D4492">
      <w:pPr>
        <w:pStyle w:val="pie"/>
        <w:spacing w:after="0"/>
        <w:ind w:left="709" w:right="57" w:hanging="604"/>
        <w:rPr>
          <w:lang w:val="es-MX"/>
        </w:rPr>
      </w:pPr>
      <w:r w:rsidRPr="00D5238C">
        <w:rPr>
          <w:lang w:val="es-MX"/>
        </w:rPr>
        <w:t>Nota:</w:t>
      </w:r>
      <w:r>
        <w:rPr>
          <w:lang w:val="es-MX"/>
        </w:rPr>
        <w:tab/>
      </w:r>
      <w:r w:rsidRPr="00D5238C">
        <w:rPr>
          <w:lang w:val="es-MX"/>
        </w:rPr>
        <w:t>Intervalos de confianza a 95</w:t>
      </w:r>
      <w:r w:rsidR="00F71C8F">
        <w:rPr>
          <w:lang w:val="es-MX"/>
        </w:rPr>
        <w:t>.0</w:t>
      </w:r>
      <w:r>
        <w:rPr>
          <w:lang w:val="es-MX"/>
        </w:rPr>
        <w:t xml:space="preserve"> </w:t>
      </w:r>
      <w:r w:rsidR="0096254A">
        <w:rPr>
          <w:lang w:val="es-MX"/>
        </w:rPr>
        <w:t>por ciento.</w:t>
      </w:r>
    </w:p>
    <w:p w14:paraId="79020E56" w14:textId="40DA1EFD" w:rsidR="00D43352" w:rsidRPr="00C93231" w:rsidRDefault="00D43352" w:rsidP="003D4492">
      <w:pPr>
        <w:pStyle w:val="pie"/>
        <w:spacing w:after="0"/>
        <w:ind w:left="709" w:right="57" w:hanging="604"/>
        <w:rPr>
          <w:lang w:val="es-MX"/>
        </w:rPr>
      </w:pPr>
      <w:r w:rsidRPr="00C93231">
        <w:rPr>
          <w:vertAlign w:val="superscript"/>
          <w:lang w:val="es-MX"/>
        </w:rPr>
        <w:t>1</w:t>
      </w:r>
      <w:r w:rsidR="001952A1">
        <w:rPr>
          <w:vertAlign w:val="superscript"/>
          <w:lang w:val="es-MX"/>
        </w:rPr>
        <w:t>/</w:t>
      </w:r>
      <w:r w:rsidRPr="00C93231">
        <w:rPr>
          <w:vertAlign w:val="superscript"/>
          <w:lang w:val="es-MX"/>
        </w:rPr>
        <w:tab/>
      </w:r>
      <w:r w:rsidRPr="00C93231">
        <w:rPr>
          <w:lang w:val="es-MX"/>
        </w:rPr>
        <w:t>Estimación oportuna que aprovecha la asociación estadística entre la variable que se desea estimar —en este caso, el</w:t>
      </w:r>
      <w:r>
        <w:rPr>
          <w:lang w:val="es-MX"/>
        </w:rPr>
        <w:t xml:space="preserve"> Indicador Global de la Actividad Económica</w:t>
      </w:r>
      <w:r w:rsidRPr="00C93231">
        <w:rPr>
          <w:lang w:val="es-MX"/>
        </w:rPr>
        <w:t xml:space="preserve"> </w:t>
      </w:r>
      <w:r>
        <w:rPr>
          <w:lang w:val="es-MX"/>
        </w:rPr>
        <w:t>(</w:t>
      </w:r>
      <w:r w:rsidRPr="00C93231">
        <w:rPr>
          <w:smallCaps/>
          <w:lang w:val="es-MX"/>
        </w:rPr>
        <w:t>igae</w:t>
      </w:r>
      <w:r>
        <w:rPr>
          <w:smallCaps/>
          <w:lang w:val="es-MX"/>
        </w:rPr>
        <w:t>)</w:t>
      </w:r>
      <w:r w:rsidRPr="00C93231">
        <w:rPr>
          <w:lang w:val="es-MX"/>
        </w:rPr>
        <w:t>— y otras variables más oportunas que esta.</w:t>
      </w:r>
    </w:p>
    <w:p w14:paraId="20AFFDBB" w14:textId="0AE3A9C1" w:rsidR="005856AF" w:rsidRPr="00776938" w:rsidRDefault="00D43352" w:rsidP="003D4492">
      <w:pPr>
        <w:pStyle w:val="pie"/>
        <w:spacing w:after="0"/>
        <w:ind w:left="709" w:right="57" w:hanging="604"/>
        <w:rPr>
          <w:b/>
          <w:smallCaps/>
          <w:lang w:val="es-MX"/>
        </w:rPr>
      </w:pPr>
      <w:r w:rsidRPr="00D43352">
        <w:rPr>
          <w:bCs/>
          <w:smallCaps/>
          <w:vertAlign w:val="superscript"/>
          <w:lang w:val="es-MX"/>
        </w:rPr>
        <w:t>2</w:t>
      </w:r>
      <w:r w:rsidR="001952A1">
        <w:rPr>
          <w:bCs/>
          <w:smallCaps/>
          <w:vertAlign w:val="superscript"/>
          <w:lang w:val="es-MX"/>
        </w:rPr>
        <w:t>/</w:t>
      </w:r>
      <w:r w:rsidR="005856AF" w:rsidRPr="00776938">
        <w:rPr>
          <w:b/>
          <w:smallCaps/>
          <w:lang w:val="es-MX"/>
        </w:rPr>
        <w:tab/>
      </w:r>
      <w:r w:rsidR="005856AF" w:rsidRPr="00776938">
        <w:rPr>
          <w:lang w:val="es-MX"/>
        </w:rPr>
        <w:t xml:space="preserve">Se considera como valor observado </w:t>
      </w:r>
      <w:r w:rsidR="005736E5" w:rsidRPr="005736E5">
        <w:rPr>
          <w:lang w:val="es-MX"/>
        </w:rPr>
        <w:t xml:space="preserve">según el </w:t>
      </w:r>
      <w:r w:rsidR="000B4629" w:rsidRPr="00C93231">
        <w:rPr>
          <w:lang w:val="es-MX"/>
        </w:rPr>
        <w:t>Indicador Mensual de la Actividad Industrial (</w:t>
      </w:r>
      <w:proofErr w:type="spellStart"/>
      <w:r w:rsidR="000B4629" w:rsidRPr="00C93231">
        <w:rPr>
          <w:smallCaps/>
          <w:lang w:val="es-MX"/>
        </w:rPr>
        <w:t>imai</w:t>
      </w:r>
      <w:proofErr w:type="spellEnd"/>
      <w:r w:rsidR="000B4629" w:rsidRPr="00C93231">
        <w:rPr>
          <w:lang w:val="es-MX"/>
        </w:rPr>
        <w:t>)</w:t>
      </w:r>
      <w:r w:rsidR="005736E5" w:rsidRPr="005736E5">
        <w:rPr>
          <w:lang w:val="es-MX"/>
        </w:rPr>
        <w:t>.</w:t>
      </w:r>
    </w:p>
    <w:p w14:paraId="40493459" w14:textId="6D22CAB3" w:rsidR="00970261" w:rsidRPr="009B66EB" w:rsidRDefault="00970261" w:rsidP="003D4492">
      <w:pPr>
        <w:pStyle w:val="pie"/>
        <w:spacing w:after="0"/>
        <w:ind w:left="709" w:right="57" w:hanging="604"/>
        <w:rPr>
          <w:lang w:val="es-MX"/>
        </w:rPr>
      </w:pPr>
      <w:r w:rsidRPr="00D5238C">
        <w:rPr>
          <w:lang w:val="es-MX"/>
        </w:rPr>
        <w:t>Fuente:</w:t>
      </w:r>
      <w:r w:rsidR="00491241">
        <w:rPr>
          <w:lang w:val="es-MX"/>
        </w:rPr>
        <w:tab/>
      </w:r>
      <w:r w:rsidR="00E16395" w:rsidRPr="00763FD0">
        <w:rPr>
          <w:smallCaps/>
          <w:lang w:val="es-MX"/>
        </w:rPr>
        <w:t>inegi</w:t>
      </w:r>
      <w:r w:rsidR="00796BC9">
        <w:rPr>
          <w:smallCaps/>
          <w:lang w:val="es-MX"/>
        </w:rPr>
        <w:t>.</w:t>
      </w:r>
      <w:r w:rsidR="009A73A3">
        <w:rPr>
          <w:smallCaps/>
          <w:lang w:val="es-MX"/>
        </w:rPr>
        <w:t xml:space="preserve"> </w:t>
      </w:r>
      <w:r w:rsidR="000B4629" w:rsidRPr="000B4629">
        <w:rPr>
          <w:lang w:val="es-MX"/>
        </w:rPr>
        <w:t>Indicador Oportuno de la Actividad Económica</w:t>
      </w:r>
      <w:r w:rsidR="000B4629" w:rsidRPr="000B4629">
        <w:rPr>
          <w:smallCaps/>
          <w:lang w:val="es-MX"/>
        </w:rPr>
        <w:t xml:space="preserve"> (ioae)</w:t>
      </w:r>
      <w:r w:rsidR="009A73A3">
        <w:rPr>
          <w:lang w:val="es-MX"/>
        </w:rPr>
        <w:t>.</w:t>
      </w:r>
      <w:r w:rsidR="00E16395">
        <w:rPr>
          <w:lang w:val="es-MX"/>
        </w:rPr>
        <w:t xml:space="preserve"> </w:t>
      </w:r>
      <w:r w:rsidR="00E16395" w:rsidRPr="00A43662">
        <w:rPr>
          <w:rStyle w:val="ui-provider"/>
          <w:lang w:val="es-MX"/>
        </w:rPr>
        <w:t>Cifras elaboradas mediante métodos econométricos, 202</w:t>
      </w:r>
      <w:r w:rsidR="0019343E">
        <w:rPr>
          <w:rStyle w:val="ui-provider"/>
          <w:lang w:val="es-MX"/>
        </w:rPr>
        <w:t>4</w:t>
      </w:r>
      <w:r w:rsidR="00E16395" w:rsidRPr="00A43662">
        <w:rPr>
          <w:rStyle w:val="ui-provider"/>
          <w:lang w:val="es-MX"/>
        </w:rPr>
        <w:t>.</w:t>
      </w:r>
    </w:p>
    <w:p w14:paraId="3C411EA7" w14:textId="40D45245" w:rsidR="0019343E" w:rsidRDefault="0019343E" w:rsidP="001B1DEC">
      <w:pPr>
        <w:spacing w:before="240"/>
        <w:rPr>
          <w:lang w:val="es-MX"/>
        </w:rPr>
      </w:pPr>
      <w:r w:rsidRPr="0019343E">
        <w:rPr>
          <w:lang w:val="es-MX"/>
        </w:rPr>
        <w:t xml:space="preserve">Para </w:t>
      </w:r>
      <w:r w:rsidR="00F70853">
        <w:rPr>
          <w:lang w:val="es-MX"/>
        </w:rPr>
        <w:t xml:space="preserve">el </w:t>
      </w:r>
      <w:r w:rsidR="00B23C9D">
        <w:rPr>
          <w:lang w:val="es-MX"/>
        </w:rPr>
        <w:t xml:space="preserve">décimo </w:t>
      </w:r>
      <w:r w:rsidR="00F70853">
        <w:rPr>
          <w:lang w:val="es-MX"/>
        </w:rPr>
        <w:t>mes</w:t>
      </w:r>
      <w:r w:rsidR="00F70853">
        <w:rPr>
          <w:lang w:val="es-MX"/>
        </w:rPr>
        <w:tab/>
      </w:r>
      <w:r w:rsidR="00F70853">
        <w:rPr>
          <w:lang w:val="es-MX"/>
        </w:rPr>
        <w:tab/>
      </w:r>
      <w:r w:rsidR="00F70853">
        <w:rPr>
          <w:lang w:val="es-MX"/>
        </w:rPr>
        <w:tab/>
      </w:r>
      <w:r w:rsidRPr="0019343E">
        <w:rPr>
          <w:lang w:val="es-MX"/>
        </w:rPr>
        <w:t xml:space="preserve"> de 2024, el </w:t>
      </w:r>
      <w:r w:rsidR="009C1033" w:rsidRPr="009C1033">
        <w:rPr>
          <w:smallCaps/>
          <w:lang w:val="es-MX"/>
        </w:rPr>
        <w:t>ioae</w:t>
      </w:r>
      <w:r w:rsidR="009C1033" w:rsidRPr="0019343E">
        <w:rPr>
          <w:lang w:val="es-MX"/>
        </w:rPr>
        <w:t xml:space="preserve"> </w:t>
      </w:r>
      <w:r w:rsidRPr="0019343E">
        <w:rPr>
          <w:lang w:val="es-MX"/>
        </w:rPr>
        <w:t>(base 2018=100) estima un nivel de 10</w:t>
      </w:r>
      <w:r w:rsidR="00245045">
        <w:rPr>
          <w:lang w:val="es-MX"/>
        </w:rPr>
        <w:t>4.9</w:t>
      </w:r>
      <w:r w:rsidRPr="0019343E">
        <w:rPr>
          <w:lang w:val="es-MX"/>
        </w:rPr>
        <w:t xml:space="preserve"> puntos para la actividad económica en su conjunto</w:t>
      </w:r>
      <w:r w:rsidR="009353C2">
        <w:rPr>
          <w:lang w:val="es-MX"/>
        </w:rPr>
        <w:t>;</w:t>
      </w:r>
      <w:r w:rsidRPr="0019343E">
        <w:rPr>
          <w:lang w:val="es-MX"/>
        </w:rPr>
        <w:t xml:space="preserve"> de 10</w:t>
      </w:r>
      <w:r w:rsidR="00245045">
        <w:rPr>
          <w:lang w:val="es-MX"/>
        </w:rPr>
        <w:t>4.6</w:t>
      </w:r>
      <w:r w:rsidRPr="0019343E">
        <w:rPr>
          <w:lang w:val="es-MX"/>
        </w:rPr>
        <w:t xml:space="preserve"> en las actividades secundarias y de 10</w:t>
      </w:r>
      <w:r w:rsidR="008064AA">
        <w:rPr>
          <w:lang w:val="es-MX"/>
        </w:rPr>
        <w:t>5.</w:t>
      </w:r>
      <w:r w:rsidR="00245045">
        <w:rPr>
          <w:lang w:val="es-MX"/>
        </w:rPr>
        <w:t>2</w:t>
      </w:r>
      <w:r w:rsidR="009353C2">
        <w:rPr>
          <w:lang w:val="es-MX"/>
        </w:rPr>
        <w:t>,</w:t>
      </w:r>
      <w:r w:rsidRPr="0019343E">
        <w:rPr>
          <w:lang w:val="es-MX"/>
        </w:rPr>
        <w:t xml:space="preserve"> en las terciarias.</w:t>
      </w:r>
    </w:p>
    <w:p w14:paraId="525D7122" w14:textId="77777777" w:rsidR="005856AF" w:rsidRDefault="005856AF" w:rsidP="009C1033">
      <w:pPr>
        <w:spacing w:before="240"/>
        <w:jc w:val="center"/>
        <w:rPr>
          <w:sz w:val="22"/>
          <w:szCs w:val="22"/>
        </w:rPr>
      </w:pPr>
      <w:r w:rsidRPr="00B17F8A">
        <w:rPr>
          <w:bCs/>
          <w:sz w:val="20"/>
          <w:szCs w:val="20"/>
        </w:rPr>
        <w:t xml:space="preserve">Cuadro </w:t>
      </w:r>
      <w:r>
        <w:rPr>
          <w:bCs/>
          <w:sz w:val="20"/>
          <w:szCs w:val="20"/>
        </w:rPr>
        <w:t>3</w:t>
      </w:r>
    </w:p>
    <w:p w14:paraId="33339472" w14:textId="1A58A43D" w:rsidR="002F19C3" w:rsidRDefault="00D35814" w:rsidP="005856AF">
      <w:pPr>
        <w:pStyle w:val="Titcuadrograf"/>
        <w:ind w:left="0"/>
        <w:rPr>
          <w:sz w:val="22"/>
          <w:szCs w:val="22"/>
        </w:rPr>
      </w:pPr>
      <w:r>
        <w:rPr>
          <w:sz w:val="22"/>
          <w:szCs w:val="22"/>
        </w:rPr>
        <w:t>índice</w:t>
      </w:r>
      <w:r w:rsidR="002F19C3">
        <w:rPr>
          <w:sz w:val="22"/>
          <w:szCs w:val="22"/>
        </w:rPr>
        <w:t xml:space="preserve"> del </w:t>
      </w:r>
      <w:r w:rsidR="00187383" w:rsidRPr="00674B83">
        <w:rPr>
          <w:sz w:val="22"/>
          <w:szCs w:val="22"/>
        </w:rPr>
        <w:t xml:space="preserve">indicador </w:t>
      </w:r>
      <w:r w:rsidR="00187383">
        <w:rPr>
          <w:sz w:val="22"/>
          <w:szCs w:val="22"/>
        </w:rPr>
        <w:t>o</w:t>
      </w:r>
      <w:r w:rsidR="00187383" w:rsidRPr="00674B83">
        <w:rPr>
          <w:sz w:val="22"/>
          <w:szCs w:val="22"/>
        </w:rPr>
        <w:t>portuno de</w:t>
      </w:r>
      <w:r w:rsidR="00187383">
        <w:rPr>
          <w:sz w:val="22"/>
          <w:szCs w:val="22"/>
        </w:rPr>
        <w:t xml:space="preserve"> </w:t>
      </w:r>
      <w:r w:rsidR="00187383" w:rsidRPr="00674B83">
        <w:rPr>
          <w:sz w:val="22"/>
          <w:szCs w:val="22"/>
        </w:rPr>
        <w:t>l</w:t>
      </w:r>
      <w:r w:rsidR="00187383">
        <w:rPr>
          <w:sz w:val="22"/>
          <w:szCs w:val="22"/>
        </w:rPr>
        <w:t>a actividad económica</w:t>
      </w:r>
      <w:r w:rsidR="00187383" w:rsidRPr="00674B83">
        <w:rPr>
          <w:sz w:val="22"/>
          <w:szCs w:val="22"/>
        </w:rPr>
        <w:t xml:space="preserve">, </w:t>
      </w:r>
    </w:p>
    <w:p w14:paraId="65CA15F8" w14:textId="538BBF37" w:rsidR="005856AF" w:rsidRPr="00E15E72" w:rsidRDefault="00187383" w:rsidP="005856AF">
      <w:pPr>
        <w:pStyle w:val="Titcuadrograf"/>
        <w:ind w:left="0"/>
        <w:rPr>
          <w:sz w:val="22"/>
          <w:szCs w:val="22"/>
        </w:rPr>
      </w:pPr>
      <w:r w:rsidRPr="00674B83">
        <w:rPr>
          <w:sz w:val="22"/>
          <w:szCs w:val="22"/>
        </w:rPr>
        <w:t>actividades secundarias y terciarias</w:t>
      </w:r>
      <w:r w:rsidRPr="00674B83" w:rsidDel="00057B47">
        <w:rPr>
          <w:sz w:val="22"/>
          <w:szCs w:val="22"/>
        </w:rPr>
        <w:t xml:space="preserve"> </w:t>
      </w:r>
    </w:p>
    <w:p w14:paraId="14B9A529" w14:textId="3DFA0C41" w:rsidR="005856AF" w:rsidRPr="00D00123" w:rsidRDefault="00187383" w:rsidP="005856AF">
      <w:pPr>
        <w:pStyle w:val="Titcuadrograf"/>
        <w:ind w:left="0"/>
        <w:rPr>
          <w:rFonts w:ascii="Arial Negrita" w:hAnsi="Arial Negrita"/>
          <w:bCs/>
          <w:sz w:val="20"/>
          <w:szCs w:val="20"/>
        </w:rPr>
      </w:pPr>
      <w:r>
        <w:rPr>
          <w:bCs/>
          <w:sz w:val="20"/>
          <w:szCs w:val="20"/>
        </w:rPr>
        <w:t>modelos estimados con series</w:t>
      </w:r>
      <w:r w:rsidRPr="00177AEC">
        <w:rPr>
          <w:bCs/>
          <w:sz w:val="20"/>
          <w:szCs w:val="20"/>
        </w:rPr>
        <w:t xml:space="preserve"> </w:t>
      </w:r>
      <w:r w:rsidRPr="00D00123">
        <w:rPr>
          <w:rFonts w:ascii="Arial Negrita" w:hAnsi="Arial Negrita"/>
          <w:bCs/>
          <w:sz w:val="20"/>
          <w:szCs w:val="20"/>
        </w:rPr>
        <w:t>desestacionalizadas</w:t>
      </w:r>
    </w:p>
    <w:p w14:paraId="3101D61C" w14:textId="332BEBE2" w:rsidR="005856AF" w:rsidRPr="00673FED" w:rsidRDefault="005856AF" w:rsidP="005856AF">
      <w:pPr>
        <w:pStyle w:val="Titcuadrograf"/>
        <w:ind w:left="0"/>
        <w:rPr>
          <w:sz w:val="18"/>
          <w:szCs w:val="18"/>
        </w:rPr>
      </w:pPr>
      <w:r w:rsidRPr="00673FED">
        <w:rPr>
          <w:b w:val="0"/>
          <w:smallCaps w:val="0"/>
          <w:sz w:val="18"/>
          <w:szCs w:val="18"/>
        </w:rPr>
        <w:t>(</w:t>
      </w:r>
      <w:r w:rsidR="0096254A">
        <w:rPr>
          <w:b w:val="0"/>
          <w:smallCaps w:val="0"/>
          <w:sz w:val="18"/>
          <w:szCs w:val="18"/>
        </w:rPr>
        <w:t>í</w:t>
      </w:r>
      <w:r w:rsidRPr="00673FED">
        <w:rPr>
          <w:b w:val="0"/>
          <w:smallCaps w:val="0"/>
          <w:sz w:val="18"/>
          <w:szCs w:val="18"/>
        </w:rPr>
        <w:t>ndice base 201</w:t>
      </w:r>
      <w:r w:rsidR="00DD5597">
        <w:rPr>
          <w:b w:val="0"/>
          <w:smallCaps w:val="0"/>
          <w:sz w:val="18"/>
          <w:szCs w:val="18"/>
        </w:rPr>
        <w:t>8</w:t>
      </w:r>
      <w:r w:rsidRPr="00673FED">
        <w:rPr>
          <w:b w:val="0"/>
          <w:smallCaps w:val="0"/>
          <w:sz w:val="18"/>
          <w:szCs w:val="18"/>
        </w:rPr>
        <w:t>=100)</w:t>
      </w:r>
    </w:p>
    <w:tbl>
      <w:tblPr>
        <w:tblW w:w="10030"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828"/>
        <w:gridCol w:w="912"/>
        <w:gridCol w:w="912"/>
        <w:gridCol w:w="912"/>
        <w:gridCol w:w="911"/>
        <w:gridCol w:w="911"/>
        <w:gridCol w:w="911"/>
        <w:gridCol w:w="911"/>
        <w:gridCol w:w="911"/>
        <w:gridCol w:w="911"/>
      </w:tblGrid>
      <w:tr w:rsidR="005856AF" w:rsidRPr="00BA0721" w14:paraId="1D6553CB" w14:textId="77777777" w:rsidTr="00D73316">
        <w:trPr>
          <w:trHeight w:val="340"/>
          <w:jc w:val="center"/>
        </w:trPr>
        <w:tc>
          <w:tcPr>
            <w:tcW w:w="1828" w:type="dxa"/>
            <w:vMerge w:val="restart"/>
            <w:tcBorders>
              <w:right w:val="single" w:sz="4" w:space="0" w:color="auto"/>
            </w:tcBorders>
            <w:shd w:val="clear" w:color="auto" w:fill="D7E3BC"/>
            <w:noWrap/>
            <w:vAlign w:val="center"/>
            <w:hideMark/>
          </w:tcPr>
          <w:p w14:paraId="2E7FBD33" w14:textId="357C67BE" w:rsidR="005856AF" w:rsidRPr="00862F95" w:rsidRDefault="004F72BC" w:rsidP="00081519">
            <w:pPr>
              <w:jc w:val="center"/>
              <w:rPr>
                <w:color w:val="000000"/>
                <w:sz w:val="16"/>
                <w:szCs w:val="16"/>
                <w:lang w:val="es-MX" w:eastAsia="es-MX"/>
              </w:rPr>
            </w:pPr>
            <w:r>
              <w:rPr>
                <w:color w:val="000000"/>
                <w:sz w:val="16"/>
                <w:szCs w:val="16"/>
                <w:lang w:eastAsia="es-MX"/>
              </w:rPr>
              <w:t xml:space="preserve">Periodo </w:t>
            </w:r>
            <w:r w:rsidR="005856AF" w:rsidRPr="00862F95">
              <w:rPr>
                <w:color w:val="000000"/>
                <w:sz w:val="16"/>
                <w:szCs w:val="16"/>
                <w:lang w:eastAsia="es-MX"/>
              </w:rPr>
              <w:t>de referencia</w:t>
            </w:r>
          </w:p>
        </w:tc>
        <w:tc>
          <w:tcPr>
            <w:tcW w:w="2736" w:type="dxa"/>
            <w:gridSpan w:val="3"/>
            <w:tcBorders>
              <w:left w:val="single" w:sz="4" w:space="0" w:color="auto"/>
              <w:bottom w:val="single" w:sz="4" w:space="0" w:color="auto"/>
              <w:right w:val="single" w:sz="4" w:space="0" w:color="auto"/>
            </w:tcBorders>
            <w:shd w:val="clear" w:color="auto" w:fill="D7E3BC"/>
            <w:noWrap/>
            <w:vAlign w:val="center"/>
            <w:hideMark/>
          </w:tcPr>
          <w:p w14:paraId="758A1CE0" w14:textId="2D1C8700" w:rsidR="005856AF" w:rsidRPr="00862F95" w:rsidRDefault="003C4A78" w:rsidP="00081519">
            <w:pPr>
              <w:jc w:val="center"/>
              <w:rPr>
                <w:color w:val="000000"/>
                <w:sz w:val="16"/>
                <w:szCs w:val="16"/>
                <w:lang w:eastAsia="es-MX"/>
              </w:rPr>
            </w:pPr>
            <w:r w:rsidRPr="009F3C12">
              <w:rPr>
                <w:smallCaps/>
                <w:color w:val="000000"/>
                <w:sz w:val="16"/>
                <w:szCs w:val="16"/>
                <w:lang w:eastAsia="es-MX"/>
              </w:rPr>
              <w:t>IGAE</w:t>
            </w:r>
          </w:p>
        </w:tc>
        <w:tc>
          <w:tcPr>
            <w:tcW w:w="2733" w:type="dxa"/>
            <w:gridSpan w:val="3"/>
            <w:tcBorders>
              <w:left w:val="single" w:sz="4" w:space="0" w:color="auto"/>
              <w:bottom w:val="single" w:sz="4" w:space="0" w:color="auto"/>
              <w:right w:val="single" w:sz="4" w:space="0" w:color="auto"/>
            </w:tcBorders>
            <w:shd w:val="clear" w:color="auto" w:fill="D7E3BC"/>
            <w:noWrap/>
            <w:vAlign w:val="center"/>
            <w:hideMark/>
          </w:tcPr>
          <w:p w14:paraId="4E82A4ED" w14:textId="77777777" w:rsidR="005856AF" w:rsidRPr="00862F95" w:rsidRDefault="005856AF" w:rsidP="00081519">
            <w:pPr>
              <w:jc w:val="center"/>
              <w:rPr>
                <w:color w:val="000000"/>
                <w:sz w:val="16"/>
                <w:szCs w:val="16"/>
                <w:lang w:eastAsia="es-MX"/>
              </w:rPr>
            </w:pPr>
            <w:r w:rsidRPr="00862F95">
              <w:rPr>
                <w:color w:val="000000"/>
                <w:sz w:val="16"/>
                <w:szCs w:val="16"/>
                <w:lang w:eastAsia="es-MX"/>
              </w:rPr>
              <w:t>Actividades secundarias</w:t>
            </w:r>
          </w:p>
        </w:tc>
        <w:tc>
          <w:tcPr>
            <w:tcW w:w="2733" w:type="dxa"/>
            <w:gridSpan w:val="3"/>
            <w:tcBorders>
              <w:left w:val="single" w:sz="4" w:space="0" w:color="auto"/>
              <w:bottom w:val="single" w:sz="4" w:space="0" w:color="auto"/>
            </w:tcBorders>
            <w:shd w:val="clear" w:color="auto" w:fill="D7E3BC"/>
            <w:noWrap/>
            <w:vAlign w:val="center"/>
            <w:hideMark/>
          </w:tcPr>
          <w:p w14:paraId="04FDF324" w14:textId="77777777" w:rsidR="005856AF" w:rsidRPr="00862F95" w:rsidRDefault="005856AF" w:rsidP="00081519">
            <w:pPr>
              <w:jc w:val="center"/>
              <w:rPr>
                <w:color w:val="000000"/>
                <w:sz w:val="16"/>
                <w:szCs w:val="16"/>
                <w:lang w:eastAsia="es-MX"/>
              </w:rPr>
            </w:pPr>
            <w:r w:rsidRPr="00862F95">
              <w:rPr>
                <w:color w:val="000000"/>
                <w:sz w:val="16"/>
                <w:szCs w:val="16"/>
                <w:lang w:eastAsia="es-MX"/>
              </w:rPr>
              <w:t>Actividades terciarias</w:t>
            </w:r>
          </w:p>
        </w:tc>
      </w:tr>
      <w:tr w:rsidR="005856AF" w:rsidRPr="00BA0721" w14:paraId="78CDBF2F" w14:textId="77777777" w:rsidTr="00D73316">
        <w:trPr>
          <w:trHeight w:val="340"/>
          <w:jc w:val="center"/>
        </w:trPr>
        <w:tc>
          <w:tcPr>
            <w:tcW w:w="1828" w:type="dxa"/>
            <w:vMerge/>
            <w:tcBorders>
              <w:bottom w:val="single" w:sz="4" w:space="0" w:color="auto"/>
              <w:right w:val="single" w:sz="4" w:space="0" w:color="auto"/>
            </w:tcBorders>
            <w:shd w:val="clear" w:color="auto" w:fill="D7E3BC"/>
            <w:vAlign w:val="center"/>
            <w:hideMark/>
          </w:tcPr>
          <w:p w14:paraId="534C5090" w14:textId="77777777" w:rsidR="005856AF" w:rsidRPr="00862F95" w:rsidRDefault="005856AF" w:rsidP="00081519">
            <w:pPr>
              <w:jc w:val="center"/>
              <w:rPr>
                <w:color w:val="000000"/>
                <w:sz w:val="16"/>
                <w:szCs w:val="16"/>
                <w:lang w:eastAsia="es-MX"/>
              </w:rPr>
            </w:pP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1BB7888" w14:textId="77777777" w:rsidR="005856AF" w:rsidRPr="00862F95" w:rsidRDefault="005856AF" w:rsidP="00081519">
            <w:pPr>
              <w:jc w:val="center"/>
              <w:rPr>
                <w:color w:val="000000"/>
                <w:sz w:val="16"/>
                <w:szCs w:val="16"/>
                <w:lang w:eastAsia="es-MX"/>
              </w:rPr>
            </w:pPr>
            <w:r w:rsidRPr="00862F95">
              <w:rPr>
                <w:color w:val="000000"/>
                <w:sz w:val="16"/>
                <w:szCs w:val="16"/>
                <w:lang w:eastAsia="es-MX"/>
              </w:rPr>
              <w:t>Inferior</w:t>
            </w: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00BD98B" w14:textId="2B0C2541" w:rsidR="005856AF" w:rsidRPr="00C36079" w:rsidRDefault="005856AF" w:rsidP="00081519">
            <w:pPr>
              <w:jc w:val="center"/>
              <w:rPr>
                <w:i/>
                <w:iCs/>
                <w:color w:val="000000"/>
                <w:sz w:val="16"/>
                <w:szCs w:val="16"/>
                <w:lang w:eastAsia="es-MX"/>
              </w:rPr>
            </w:pPr>
            <w:r w:rsidRPr="00C36079">
              <w:rPr>
                <w:i/>
                <w:iCs/>
                <w:color w:val="000000"/>
                <w:sz w:val="16"/>
                <w:szCs w:val="16"/>
                <w:lang w:eastAsia="es-MX"/>
              </w:rPr>
              <w:t>Nowcast</w:t>
            </w:r>
            <w:r w:rsidR="00D43352" w:rsidRPr="00D43352">
              <w:rPr>
                <w:color w:val="000000"/>
                <w:sz w:val="16"/>
                <w:szCs w:val="16"/>
                <w:vertAlign w:val="superscript"/>
                <w:lang w:eastAsia="es-MX"/>
              </w:rPr>
              <w:t>1</w:t>
            </w:r>
            <w:r w:rsidR="001952A1">
              <w:rPr>
                <w:color w:val="000000"/>
                <w:sz w:val="16"/>
                <w:szCs w:val="16"/>
                <w:vertAlign w:val="superscript"/>
                <w:lang w:eastAsia="es-MX"/>
              </w:rPr>
              <w:t>/</w:t>
            </w:r>
          </w:p>
        </w:tc>
        <w:tc>
          <w:tcPr>
            <w:tcW w:w="91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1A55EB2" w14:textId="77777777" w:rsidR="005856AF" w:rsidRPr="00862F95" w:rsidRDefault="005856AF" w:rsidP="00081519">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02EAB28" w14:textId="77777777" w:rsidR="005856AF" w:rsidRPr="00862F95" w:rsidRDefault="005856AF" w:rsidP="00081519">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968F280" w14:textId="0BFDFAD2" w:rsidR="005856AF" w:rsidRPr="00C36079" w:rsidRDefault="005856AF" w:rsidP="00081519">
            <w:pPr>
              <w:jc w:val="center"/>
              <w:rPr>
                <w:i/>
                <w:iCs/>
                <w:color w:val="000000"/>
                <w:sz w:val="16"/>
                <w:szCs w:val="16"/>
                <w:lang w:eastAsia="es-MX"/>
              </w:rPr>
            </w:pPr>
            <w:r w:rsidRPr="00C36079">
              <w:rPr>
                <w:i/>
                <w:iCs/>
                <w:color w:val="000000"/>
                <w:sz w:val="16"/>
                <w:szCs w:val="16"/>
                <w:lang w:eastAsia="es-MX"/>
              </w:rPr>
              <w:t>Nowcast</w:t>
            </w:r>
            <w:r w:rsidR="00D43352" w:rsidRPr="00D43352">
              <w:rPr>
                <w:color w:val="000000"/>
                <w:sz w:val="16"/>
                <w:szCs w:val="16"/>
                <w:vertAlign w:val="superscript"/>
                <w:lang w:eastAsia="es-MX"/>
              </w:rPr>
              <w:t>1</w:t>
            </w:r>
            <w:r w:rsidR="001952A1">
              <w:rPr>
                <w:color w:val="000000"/>
                <w:sz w:val="16"/>
                <w:szCs w:val="16"/>
                <w:vertAlign w:val="superscript"/>
                <w:lang w:eastAsia="es-MX"/>
              </w:rPr>
              <w:t>/</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A2BF198" w14:textId="77777777" w:rsidR="005856AF" w:rsidRPr="00862F95" w:rsidRDefault="005856AF" w:rsidP="00081519">
            <w:pPr>
              <w:jc w:val="center"/>
              <w:rPr>
                <w:color w:val="000000"/>
                <w:sz w:val="16"/>
                <w:szCs w:val="16"/>
                <w:lang w:eastAsia="es-MX"/>
              </w:rPr>
            </w:pPr>
            <w:r w:rsidRPr="00862F95">
              <w:rPr>
                <w:color w:val="000000"/>
                <w:sz w:val="16"/>
                <w:szCs w:val="16"/>
                <w:lang w:eastAsia="es-MX"/>
              </w:rPr>
              <w:t>Superior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2E00692" w14:textId="77777777" w:rsidR="005856AF" w:rsidRPr="00862F95" w:rsidRDefault="005856AF" w:rsidP="00081519">
            <w:pPr>
              <w:jc w:val="center"/>
              <w:rPr>
                <w:color w:val="000000"/>
                <w:sz w:val="16"/>
                <w:szCs w:val="16"/>
                <w:lang w:eastAsia="es-MX"/>
              </w:rPr>
            </w:pPr>
            <w:r w:rsidRPr="00862F95">
              <w:rPr>
                <w:color w:val="000000"/>
                <w:sz w:val="16"/>
                <w:szCs w:val="16"/>
                <w:lang w:eastAsia="es-MX"/>
              </w:rPr>
              <w:t>Inferior</w:t>
            </w:r>
          </w:p>
        </w:tc>
        <w:tc>
          <w:tcPr>
            <w:tcW w:w="911"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768EB46" w14:textId="298BF35A" w:rsidR="005856AF" w:rsidRPr="00C36079" w:rsidRDefault="005856AF" w:rsidP="00081519">
            <w:pPr>
              <w:jc w:val="center"/>
              <w:rPr>
                <w:i/>
                <w:iCs/>
                <w:color w:val="000000"/>
                <w:sz w:val="16"/>
                <w:szCs w:val="16"/>
                <w:lang w:eastAsia="es-MX"/>
              </w:rPr>
            </w:pPr>
            <w:r w:rsidRPr="00C36079">
              <w:rPr>
                <w:i/>
                <w:iCs/>
                <w:color w:val="000000"/>
                <w:sz w:val="16"/>
                <w:szCs w:val="16"/>
                <w:lang w:eastAsia="es-MX"/>
              </w:rPr>
              <w:t>Nowcast</w:t>
            </w:r>
            <w:r w:rsidR="00D43352" w:rsidRPr="00D43352">
              <w:rPr>
                <w:color w:val="000000"/>
                <w:sz w:val="16"/>
                <w:szCs w:val="16"/>
                <w:vertAlign w:val="superscript"/>
                <w:lang w:eastAsia="es-MX"/>
              </w:rPr>
              <w:t>1</w:t>
            </w:r>
            <w:r w:rsidR="001952A1">
              <w:rPr>
                <w:color w:val="000000"/>
                <w:sz w:val="16"/>
                <w:szCs w:val="16"/>
                <w:vertAlign w:val="superscript"/>
                <w:lang w:eastAsia="es-MX"/>
              </w:rPr>
              <w:t>/</w:t>
            </w:r>
          </w:p>
        </w:tc>
        <w:tc>
          <w:tcPr>
            <w:tcW w:w="911" w:type="dxa"/>
            <w:tcBorders>
              <w:top w:val="single" w:sz="4" w:space="0" w:color="auto"/>
              <w:left w:val="single" w:sz="4" w:space="0" w:color="auto"/>
              <w:bottom w:val="single" w:sz="4" w:space="0" w:color="auto"/>
            </w:tcBorders>
            <w:shd w:val="clear" w:color="auto" w:fill="D7E3BC"/>
            <w:noWrap/>
            <w:vAlign w:val="center"/>
            <w:hideMark/>
          </w:tcPr>
          <w:p w14:paraId="0F16CD46" w14:textId="77777777" w:rsidR="005856AF" w:rsidRPr="00862F95" w:rsidRDefault="005856AF" w:rsidP="00081519">
            <w:pPr>
              <w:jc w:val="center"/>
              <w:rPr>
                <w:color w:val="000000"/>
                <w:sz w:val="16"/>
                <w:szCs w:val="16"/>
                <w:lang w:eastAsia="es-MX"/>
              </w:rPr>
            </w:pPr>
            <w:r w:rsidRPr="00862F95">
              <w:rPr>
                <w:color w:val="000000"/>
                <w:sz w:val="16"/>
                <w:szCs w:val="16"/>
                <w:lang w:eastAsia="es-MX"/>
              </w:rPr>
              <w:t>Superior</w:t>
            </w:r>
          </w:p>
        </w:tc>
      </w:tr>
      <w:tr w:rsidR="00245045" w:rsidRPr="00BA0721" w14:paraId="3A1BA918" w14:textId="77777777" w:rsidTr="00D73316">
        <w:trPr>
          <w:trHeight w:val="283"/>
          <w:jc w:val="center"/>
        </w:trPr>
        <w:tc>
          <w:tcPr>
            <w:tcW w:w="1828" w:type="dxa"/>
            <w:tcBorders>
              <w:top w:val="single" w:sz="4" w:space="0" w:color="auto"/>
              <w:right w:val="single" w:sz="4" w:space="0" w:color="auto"/>
            </w:tcBorders>
            <w:noWrap/>
            <w:vAlign w:val="center"/>
            <w:hideMark/>
          </w:tcPr>
          <w:p w14:paraId="082C563A" w14:textId="27802B18" w:rsidR="00245045" w:rsidRPr="00A90756" w:rsidRDefault="00245045" w:rsidP="00245045">
            <w:pPr>
              <w:jc w:val="left"/>
              <w:rPr>
                <w:color w:val="000000"/>
                <w:sz w:val="16"/>
                <w:szCs w:val="16"/>
                <w:lang w:eastAsia="es-MX"/>
              </w:rPr>
            </w:pPr>
            <w:r>
              <w:rPr>
                <w:sz w:val="16"/>
                <w:szCs w:val="16"/>
              </w:rPr>
              <w:t xml:space="preserve">Septiembre </w:t>
            </w:r>
            <w:r w:rsidRPr="00A90756">
              <w:rPr>
                <w:sz w:val="16"/>
                <w:szCs w:val="16"/>
              </w:rPr>
              <w:t>de 2024</w:t>
            </w:r>
          </w:p>
        </w:tc>
        <w:tc>
          <w:tcPr>
            <w:tcW w:w="912" w:type="dxa"/>
            <w:tcBorders>
              <w:top w:val="single" w:sz="4" w:space="0" w:color="auto"/>
              <w:left w:val="single" w:sz="4" w:space="0" w:color="auto"/>
              <w:right w:val="single" w:sz="4" w:space="0" w:color="auto"/>
            </w:tcBorders>
            <w:noWrap/>
            <w:vAlign w:val="center"/>
          </w:tcPr>
          <w:p w14:paraId="27F4B521" w14:textId="32574FCC" w:rsidR="00245045" w:rsidRPr="00245045" w:rsidRDefault="00245045" w:rsidP="00245045">
            <w:pPr>
              <w:jc w:val="center"/>
              <w:rPr>
                <w:color w:val="000000"/>
                <w:sz w:val="16"/>
                <w:szCs w:val="16"/>
                <w:lang w:eastAsia="es-MX"/>
              </w:rPr>
            </w:pPr>
            <w:r w:rsidRPr="00245045">
              <w:rPr>
                <w:sz w:val="16"/>
                <w:szCs w:val="16"/>
                <w:lang w:val="es-ES"/>
              </w:rPr>
              <w:t>104.0</w:t>
            </w:r>
          </w:p>
        </w:tc>
        <w:tc>
          <w:tcPr>
            <w:tcW w:w="912" w:type="dxa"/>
            <w:tcBorders>
              <w:top w:val="single" w:sz="4" w:space="0" w:color="auto"/>
              <w:left w:val="single" w:sz="4" w:space="0" w:color="auto"/>
              <w:right w:val="single" w:sz="4" w:space="0" w:color="auto"/>
            </w:tcBorders>
            <w:noWrap/>
            <w:vAlign w:val="center"/>
          </w:tcPr>
          <w:p w14:paraId="71D58675" w14:textId="55498986" w:rsidR="00245045" w:rsidRPr="00245045" w:rsidRDefault="00245045" w:rsidP="00245045">
            <w:pPr>
              <w:jc w:val="center"/>
              <w:rPr>
                <w:color w:val="000000"/>
                <w:sz w:val="16"/>
                <w:szCs w:val="16"/>
                <w:lang w:eastAsia="es-MX"/>
              </w:rPr>
            </w:pPr>
            <w:r w:rsidRPr="00245045">
              <w:rPr>
                <w:sz w:val="16"/>
                <w:szCs w:val="16"/>
                <w:lang w:val="es-ES"/>
              </w:rPr>
              <w:t>105.0</w:t>
            </w:r>
          </w:p>
        </w:tc>
        <w:tc>
          <w:tcPr>
            <w:tcW w:w="912" w:type="dxa"/>
            <w:tcBorders>
              <w:top w:val="single" w:sz="4" w:space="0" w:color="auto"/>
              <w:left w:val="single" w:sz="4" w:space="0" w:color="auto"/>
              <w:right w:val="single" w:sz="4" w:space="0" w:color="auto"/>
            </w:tcBorders>
            <w:noWrap/>
            <w:vAlign w:val="center"/>
          </w:tcPr>
          <w:p w14:paraId="27941DAF" w14:textId="507DD04D" w:rsidR="00245045" w:rsidRPr="00245045" w:rsidRDefault="00245045" w:rsidP="00245045">
            <w:pPr>
              <w:jc w:val="center"/>
              <w:rPr>
                <w:color w:val="000000"/>
                <w:sz w:val="16"/>
                <w:szCs w:val="16"/>
                <w:lang w:eastAsia="es-MX"/>
              </w:rPr>
            </w:pPr>
            <w:r w:rsidRPr="00245045">
              <w:rPr>
                <w:sz w:val="16"/>
                <w:szCs w:val="16"/>
                <w:lang w:val="es-ES"/>
              </w:rPr>
              <w:t>106.0</w:t>
            </w:r>
          </w:p>
        </w:tc>
        <w:tc>
          <w:tcPr>
            <w:tcW w:w="911" w:type="dxa"/>
            <w:tcBorders>
              <w:top w:val="single" w:sz="4" w:space="0" w:color="auto"/>
              <w:left w:val="single" w:sz="4" w:space="0" w:color="auto"/>
              <w:right w:val="single" w:sz="4" w:space="0" w:color="auto"/>
            </w:tcBorders>
            <w:noWrap/>
            <w:vAlign w:val="center"/>
          </w:tcPr>
          <w:p w14:paraId="78437AB1" w14:textId="77777777" w:rsidR="00245045" w:rsidRPr="00245045" w:rsidRDefault="00245045" w:rsidP="00245045">
            <w:pPr>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tcPr>
          <w:p w14:paraId="4FC6DA60" w14:textId="75DECCCB" w:rsidR="00245045" w:rsidRPr="005C48E1" w:rsidRDefault="00245045" w:rsidP="00245045">
            <w:pPr>
              <w:jc w:val="center"/>
              <w:rPr>
                <w:color w:val="000000"/>
                <w:sz w:val="16"/>
                <w:szCs w:val="16"/>
                <w:lang w:eastAsia="es-MX"/>
              </w:rPr>
            </w:pPr>
            <w:r w:rsidRPr="005C48E1">
              <w:rPr>
                <w:sz w:val="16"/>
                <w:szCs w:val="16"/>
                <w:lang w:val="es-ES"/>
              </w:rPr>
              <w:t>104.</w:t>
            </w:r>
            <w:r>
              <w:rPr>
                <w:sz w:val="16"/>
                <w:szCs w:val="16"/>
                <w:lang w:val="es-ES"/>
              </w:rPr>
              <w:t>7</w:t>
            </w:r>
            <w:r w:rsidRPr="001952A1">
              <w:rPr>
                <w:sz w:val="16"/>
                <w:szCs w:val="16"/>
                <w:vertAlign w:val="superscript"/>
                <w:lang w:val="es-ES"/>
              </w:rPr>
              <w:t>2/</w:t>
            </w:r>
          </w:p>
        </w:tc>
        <w:tc>
          <w:tcPr>
            <w:tcW w:w="911" w:type="dxa"/>
            <w:tcBorders>
              <w:top w:val="single" w:sz="4" w:space="0" w:color="auto"/>
              <w:left w:val="single" w:sz="4" w:space="0" w:color="auto"/>
              <w:right w:val="single" w:sz="4" w:space="0" w:color="auto"/>
            </w:tcBorders>
            <w:noWrap/>
            <w:vAlign w:val="center"/>
          </w:tcPr>
          <w:p w14:paraId="1AB47B4E" w14:textId="77777777" w:rsidR="00245045" w:rsidRPr="00245045" w:rsidRDefault="00245045" w:rsidP="00245045">
            <w:pPr>
              <w:jc w:val="center"/>
              <w:rPr>
                <w:color w:val="000000"/>
                <w:sz w:val="16"/>
                <w:szCs w:val="16"/>
                <w:lang w:eastAsia="es-MX"/>
              </w:rPr>
            </w:pPr>
          </w:p>
        </w:tc>
        <w:tc>
          <w:tcPr>
            <w:tcW w:w="911" w:type="dxa"/>
            <w:tcBorders>
              <w:top w:val="single" w:sz="4" w:space="0" w:color="auto"/>
              <w:left w:val="single" w:sz="4" w:space="0" w:color="auto"/>
              <w:right w:val="single" w:sz="4" w:space="0" w:color="auto"/>
            </w:tcBorders>
            <w:noWrap/>
            <w:vAlign w:val="center"/>
          </w:tcPr>
          <w:p w14:paraId="18EB1E6E" w14:textId="19168C8E" w:rsidR="00245045" w:rsidRPr="00245045" w:rsidRDefault="00245045" w:rsidP="00245045">
            <w:pPr>
              <w:jc w:val="center"/>
              <w:rPr>
                <w:color w:val="000000"/>
                <w:sz w:val="16"/>
                <w:szCs w:val="16"/>
                <w:lang w:eastAsia="es-MX"/>
              </w:rPr>
            </w:pPr>
            <w:r w:rsidRPr="00245045">
              <w:rPr>
                <w:sz w:val="16"/>
                <w:szCs w:val="16"/>
                <w:lang w:val="es-ES"/>
              </w:rPr>
              <w:t>104.0</w:t>
            </w:r>
          </w:p>
        </w:tc>
        <w:tc>
          <w:tcPr>
            <w:tcW w:w="911" w:type="dxa"/>
            <w:tcBorders>
              <w:top w:val="single" w:sz="4" w:space="0" w:color="auto"/>
              <w:left w:val="single" w:sz="4" w:space="0" w:color="auto"/>
              <w:right w:val="single" w:sz="4" w:space="0" w:color="auto"/>
            </w:tcBorders>
            <w:noWrap/>
            <w:vAlign w:val="center"/>
          </w:tcPr>
          <w:p w14:paraId="0EFB1331" w14:textId="4FC75AD1" w:rsidR="00245045" w:rsidRPr="00245045" w:rsidRDefault="00245045" w:rsidP="00245045">
            <w:pPr>
              <w:jc w:val="center"/>
              <w:rPr>
                <w:color w:val="000000"/>
                <w:sz w:val="16"/>
                <w:szCs w:val="16"/>
                <w:lang w:eastAsia="es-MX"/>
              </w:rPr>
            </w:pPr>
            <w:r w:rsidRPr="00245045">
              <w:rPr>
                <w:sz w:val="16"/>
                <w:szCs w:val="16"/>
                <w:lang w:val="es-ES"/>
              </w:rPr>
              <w:t>105.2</w:t>
            </w:r>
          </w:p>
        </w:tc>
        <w:tc>
          <w:tcPr>
            <w:tcW w:w="911" w:type="dxa"/>
            <w:tcBorders>
              <w:top w:val="single" w:sz="4" w:space="0" w:color="auto"/>
              <w:left w:val="single" w:sz="4" w:space="0" w:color="auto"/>
            </w:tcBorders>
            <w:noWrap/>
            <w:vAlign w:val="center"/>
          </w:tcPr>
          <w:p w14:paraId="511BFF3D" w14:textId="01754406" w:rsidR="00245045" w:rsidRPr="00245045" w:rsidRDefault="00245045" w:rsidP="00245045">
            <w:pPr>
              <w:jc w:val="center"/>
              <w:rPr>
                <w:color w:val="000000"/>
                <w:sz w:val="16"/>
                <w:szCs w:val="16"/>
                <w:lang w:eastAsia="es-MX"/>
              </w:rPr>
            </w:pPr>
            <w:r w:rsidRPr="00245045">
              <w:rPr>
                <w:sz w:val="16"/>
                <w:szCs w:val="16"/>
                <w:lang w:val="es-ES"/>
              </w:rPr>
              <w:t>106.4</w:t>
            </w:r>
          </w:p>
        </w:tc>
      </w:tr>
      <w:tr w:rsidR="00245045" w:rsidRPr="00BA0721" w14:paraId="5F36DA18" w14:textId="77777777" w:rsidTr="00D73316">
        <w:trPr>
          <w:trHeight w:val="283"/>
          <w:jc w:val="center"/>
        </w:trPr>
        <w:tc>
          <w:tcPr>
            <w:tcW w:w="1828" w:type="dxa"/>
            <w:tcBorders>
              <w:right w:val="single" w:sz="4" w:space="0" w:color="auto"/>
            </w:tcBorders>
            <w:noWrap/>
            <w:vAlign w:val="center"/>
            <w:hideMark/>
          </w:tcPr>
          <w:p w14:paraId="5232C0B4" w14:textId="7B4FD2A8" w:rsidR="00245045" w:rsidRPr="00A90756" w:rsidRDefault="00245045" w:rsidP="00245045">
            <w:pPr>
              <w:jc w:val="left"/>
              <w:rPr>
                <w:color w:val="000000"/>
                <w:sz w:val="16"/>
                <w:szCs w:val="16"/>
                <w:lang w:eastAsia="es-MX"/>
              </w:rPr>
            </w:pPr>
            <w:r>
              <w:rPr>
                <w:sz w:val="16"/>
                <w:szCs w:val="16"/>
              </w:rPr>
              <w:t xml:space="preserve">Octubre </w:t>
            </w:r>
            <w:r w:rsidRPr="00A90756">
              <w:rPr>
                <w:sz w:val="16"/>
                <w:szCs w:val="16"/>
              </w:rPr>
              <w:t>de 2024</w:t>
            </w:r>
          </w:p>
        </w:tc>
        <w:tc>
          <w:tcPr>
            <w:tcW w:w="912" w:type="dxa"/>
            <w:tcBorders>
              <w:left w:val="single" w:sz="4" w:space="0" w:color="auto"/>
              <w:right w:val="single" w:sz="4" w:space="0" w:color="auto"/>
            </w:tcBorders>
            <w:noWrap/>
            <w:vAlign w:val="center"/>
          </w:tcPr>
          <w:p w14:paraId="0017A212" w14:textId="557A2210" w:rsidR="00245045" w:rsidRPr="00245045" w:rsidRDefault="00245045" w:rsidP="00245045">
            <w:pPr>
              <w:jc w:val="center"/>
              <w:rPr>
                <w:color w:val="000000"/>
                <w:sz w:val="16"/>
                <w:szCs w:val="16"/>
                <w:lang w:eastAsia="es-MX"/>
              </w:rPr>
            </w:pPr>
            <w:r w:rsidRPr="00245045">
              <w:rPr>
                <w:sz w:val="16"/>
                <w:szCs w:val="16"/>
                <w:lang w:val="es-ES"/>
              </w:rPr>
              <w:t>104.0</w:t>
            </w:r>
          </w:p>
        </w:tc>
        <w:tc>
          <w:tcPr>
            <w:tcW w:w="912" w:type="dxa"/>
            <w:tcBorders>
              <w:left w:val="single" w:sz="4" w:space="0" w:color="auto"/>
              <w:right w:val="single" w:sz="4" w:space="0" w:color="auto"/>
            </w:tcBorders>
            <w:noWrap/>
            <w:vAlign w:val="center"/>
          </w:tcPr>
          <w:p w14:paraId="25B13680" w14:textId="59394B24" w:rsidR="00245045" w:rsidRPr="00245045" w:rsidRDefault="00245045" w:rsidP="00245045">
            <w:pPr>
              <w:jc w:val="center"/>
              <w:rPr>
                <w:color w:val="000000"/>
                <w:sz w:val="16"/>
                <w:szCs w:val="16"/>
                <w:lang w:eastAsia="es-MX"/>
              </w:rPr>
            </w:pPr>
            <w:r w:rsidRPr="00245045">
              <w:rPr>
                <w:sz w:val="16"/>
                <w:szCs w:val="16"/>
                <w:lang w:val="es-ES"/>
              </w:rPr>
              <w:t>104.9</w:t>
            </w:r>
          </w:p>
        </w:tc>
        <w:tc>
          <w:tcPr>
            <w:tcW w:w="912" w:type="dxa"/>
            <w:tcBorders>
              <w:left w:val="single" w:sz="4" w:space="0" w:color="auto"/>
              <w:right w:val="single" w:sz="4" w:space="0" w:color="auto"/>
            </w:tcBorders>
            <w:shd w:val="clear" w:color="auto" w:fill="auto"/>
            <w:noWrap/>
            <w:vAlign w:val="center"/>
          </w:tcPr>
          <w:p w14:paraId="1A849B8E" w14:textId="764E074E" w:rsidR="00245045" w:rsidRPr="00245045" w:rsidRDefault="00245045" w:rsidP="00245045">
            <w:pPr>
              <w:jc w:val="center"/>
              <w:rPr>
                <w:color w:val="000000"/>
                <w:sz w:val="16"/>
                <w:szCs w:val="16"/>
                <w:lang w:eastAsia="es-MX"/>
              </w:rPr>
            </w:pPr>
            <w:r w:rsidRPr="00245045">
              <w:rPr>
                <w:sz w:val="16"/>
                <w:szCs w:val="16"/>
                <w:lang w:val="es-ES"/>
              </w:rPr>
              <w:t>105.9</w:t>
            </w:r>
          </w:p>
        </w:tc>
        <w:tc>
          <w:tcPr>
            <w:tcW w:w="911" w:type="dxa"/>
            <w:tcBorders>
              <w:left w:val="single" w:sz="4" w:space="0" w:color="auto"/>
              <w:right w:val="single" w:sz="4" w:space="0" w:color="auto"/>
            </w:tcBorders>
            <w:noWrap/>
            <w:vAlign w:val="center"/>
          </w:tcPr>
          <w:p w14:paraId="6C504989" w14:textId="55124A05" w:rsidR="00245045" w:rsidRPr="00245045" w:rsidRDefault="00245045" w:rsidP="00245045">
            <w:pPr>
              <w:jc w:val="center"/>
              <w:rPr>
                <w:color w:val="000000"/>
                <w:sz w:val="16"/>
                <w:szCs w:val="16"/>
                <w:lang w:eastAsia="es-MX"/>
              </w:rPr>
            </w:pPr>
            <w:r w:rsidRPr="00245045">
              <w:rPr>
                <w:sz w:val="16"/>
                <w:szCs w:val="16"/>
                <w:lang w:val="es-ES"/>
              </w:rPr>
              <w:t>102.1</w:t>
            </w:r>
          </w:p>
        </w:tc>
        <w:tc>
          <w:tcPr>
            <w:tcW w:w="911" w:type="dxa"/>
            <w:tcBorders>
              <w:left w:val="single" w:sz="4" w:space="0" w:color="auto"/>
              <w:right w:val="single" w:sz="4" w:space="0" w:color="auto"/>
            </w:tcBorders>
            <w:noWrap/>
            <w:vAlign w:val="center"/>
          </w:tcPr>
          <w:p w14:paraId="5F21FA63" w14:textId="29BF174D" w:rsidR="00245045" w:rsidRPr="005C48E1" w:rsidRDefault="00245045" w:rsidP="00245045">
            <w:pPr>
              <w:ind w:right="57"/>
              <w:jc w:val="center"/>
              <w:rPr>
                <w:color w:val="000000"/>
                <w:sz w:val="16"/>
                <w:szCs w:val="16"/>
                <w:lang w:eastAsia="es-MX"/>
              </w:rPr>
            </w:pPr>
            <w:r w:rsidRPr="005C48E1">
              <w:rPr>
                <w:sz w:val="16"/>
                <w:szCs w:val="16"/>
                <w:lang w:val="es-ES"/>
              </w:rPr>
              <w:t>104.</w:t>
            </w:r>
            <w:r>
              <w:rPr>
                <w:sz w:val="16"/>
                <w:szCs w:val="16"/>
                <w:lang w:val="es-ES"/>
              </w:rPr>
              <w:t>6</w:t>
            </w:r>
          </w:p>
        </w:tc>
        <w:tc>
          <w:tcPr>
            <w:tcW w:w="911" w:type="dxa"/>
            <w:tcBorders>
              <w:left w:val="single" w:sz="4" w:space="0" w:color="auto"/>
              <w:right w:val="single" w:sz="4" w:space="0" w:color="auto"/>
            </w:tcBorders>
            <w:noWrap/>
            <w:vAlign w:val="center"/>
          </w:tcPr>
          <w:p w14:paraId="358F9E47" w14:textId="671EA2B2" w:rsidR="00245045" w:rsidRPr="00245045" w:rsidRDefault="00245045" w:rsidP="00245045">
            <w:pPr>
              <w:jc w:val="center"/>
              <w:rPr>
                <w:color w:val="000000"/>
                <w:sz w:val="16"/>
                <w:szCs w:val="16"/>
                <w:lang w:eastAsia="es-MX"/>
              </w:rPr>
            </w:pPr>
            <w:r w:rsidRPr="00245045">
              <w:rPr>
                <w:sz w:val="16"/>
                <w:szCs w:val="16"/>
                <w:lang w:val="es-ES"/>
              </w:rPr>
              <w:t>107.2</w:t>
            </w:r>
          </w:p>
        </w:tc>
        <w:tc>
          <w:tcPr>
            <w:tcW w:w="911" w:type="dxa"/>
            <w:tcBorders>
              <w:left w:val="single" w:sz="4" w:space="0" w:color="auto"/>
              <w:right w:val="single" w:sz="4" w:space="0" w:color="auto"/>
            </w:tcBorders>
            <w:noWrap/>
            <w:vAlign w:val="center"/>
          </w:tcPr>
          <w:p w14:paraId="61B7DC5D" w14:textId="4B6F9AC2" w:rsidR="00245045" w:rsidRPr="00245045" w:rsidRDefault="00245045" w:rsidP="00245045">
            <w:pPr>
              <w:jc w:val="center"/>
              <w:rPr>
                <w:color w:val="000000"/>
                <w:sz w:val="16"/>
                <w:szCs w:val="16"/>
                <w:lang w:eastAsia="es-MX"/>
              </w:rPr>
            </w:pPr>
            <w:r w:rsidRPr="00245045">
              <w:rPr>
                <w:sz w:val="16"/>
                <w:szCs w:val="16"/>
                <w:lang w:val="es-ES"/>
              </w:rPr>
              <w:t>104.0</w:t>
            </w:r>
          </w:p>
        </w:tc>
        <w:tc>
          <w:tcPr>
            <w:tcW w:w="911" w:type="dxa"/>
            <w:tcBorders>
              <w:left w:val="single" w:sz="4" w:space="0" w:color="auto"/>
              <w:right w:val="single" w:sz="4" w:space="0" w:color="auto"/>
            </w:tcBorders>
            <w:noWrap/>
            <w:vAlign w:val="center"/>
          </w:tcPr>
          <w:p w14:paraId="658DBC11" w14:textId="36D8E4AB" w:rsidR="00245045" w:rsidRPr="00245045" w:rsidRDefault="00245045" w:rsidP="00245045">
            <w:pPr>
              <w:jc w:val="center"/>
              <w:rPr>
                <w:color w:val="000000"/>
                <w:sz w:val="16"/>
                <w:szCs w:val="16"/>
                <w:lang w:eastAsia="es-MX"/>
              </w:rPr>
            </w:pPr>
            <w:r w:rsidRPr="00245045">
              <w:rPr>
                <w:sz w:val="16"/>
                <w:szCs w:val="16"/>
                <w:lang w:val="es-ES"/>
              </w:rPr>
              <w:t>105.2</w:t>
            </w:r>
          </w:p>
        </w:tc>
        <w:tc>
          <w:tcPr>
            <w:tcW w:w="911" w:type="dxa"/>
            <w:tcBorders>
              <w:left w:val="single" w:sz="4" w:space="0" w:color="auto"/>
            </w:tcBorders>
            <w:noWrap/>
            <w:vAlign w:val="center"/>
          </w:tcPr>
          <w:p w14:paraId="0974C1AE" w14:textId="7A64AC2D" w:rsidR="00245045" w:rsidRPr="00245045" w:rsidRDefault="00245045" w:rsidP="00245045">
            <w:pPr>
              <w:jc w:val="center"/>
              <w:rPr>
                <w:sz w:val="16"/>
                <w:szCs w:val="16"/>
              </w:rPr>
            </w:pPr>
            <w:r w:rsidRPr="00245045">
              <w:rPr>
                <w:sz w:val="16"/>
                <w:szCs w:val="16"/>
                <w:lang w:val="es-ES"/>
              </w:rPr>
              <w:t>106.4</w:t>
            </w:r>
          </w:p>
        </w:tc>
      </w:tr>
    </w:tbl>
    <w:p w14:paraId="5F9D2488" w14:textId="59A8310E" w:rsidR="001622CD" w:rsidRPr="00D5238C" w:rsidRDefault="001622CD" w:rsidP="003D4492">
      <w:pPr>
        <w:pStyle w:val="pie"/>
        <w:spacing w:after="0"/>
        <w:ind w:left="709" w:right="57" w:hanging="604"/>
        <w:rPr>
          <w:lang w:val="es-MX"/>
        </w:rPr>
      </w:pPr>
      <w:r w:rsidRPr="00D5238C">
        <w:rPr>
          <w:lang w:val="es-MX"/>
        </w:rPr>
        <w:t>Nota:</w:t>
      </w:r>
      <w:r>
        <w:rPr>
          <w:lang w:val="es-MX"/>
        </w:rPr>
        <w:tab/>
      </w:r>
      <w:r w:rsidRPr="00D5238C">
        <w:rPr>
          <w:lang w:val="es-MX"/>
        </w:rPr>
        <w:t>Intervalos de confianza a 95</w:t>
      </w:r>
      <w:r w:rsidR="00F71C8F">
        <w:rPr>
          <w:lang w:val="es-MX"/>
        </w:rPr>
        <w:t>.0</w:t>
      </w:r>
      <w:r>
        <w:rPr>
          <w:lang w:val="es-MX"/>
        </w:rPr>
        <w:t xml:space="preserve"> </w:t>
      </w:r>
      <w:r w:rsidR="0096254A">
        <w:rPr>
          <w:lang w:val="es-MX"/>
        </w:rPr>
        <w:t>por ciento.</w:t>
      </w:r>
    </w:p>
    <w:p w14:paraId="0749E596" w14:textId="3FE9272A" w:rsidR="00D43352" w:rsidRPr="00C93231" w:rsidRDefault="00D43352" w:rsidP="003D4492">
      <w:pPr>
        <w:pStyle w:val="pie"/>
        <w:spacing w:after="0"/>
        <w:ind w:left="709" w:right="57" w:hanging="604"/>
        <w:rPr>
          <w:lang w:val="es-MX"/>
        </w:rPr>
      </w:pPr>
      <w:r w:rsidRPr="00C93231">
        <w:rPr>
          <w:vertAlign w:val="superscript"/>
          <w:lang w:val="es-MX"/>
        </w:rPr>
        <w:t>1</w:t>
      </w:r>
      <w:r w:rsidR="001952A1">
        <w:rPr>
          <w:vertAlign w:val="superscript"/>
          <w:lang w:val="es-MX"/>
        </w:rPr>
        <w:t>/</w:t>
      </w:r>
      <w:r w:rsidRPr="00C93231">
        <w:rPr>
          <w:vertAlign w:val="superscript"/>
          <w:lang w:val="es-MX"/>
        </w:rPr>
        <w:tab/>
      </w:r>
      <w:r w:rsidRPr="00C93231">
        <w:rPr>
          <w:lang w:val="es-MX"/>
        </w:rPr>
        <w:t>Estimación oportuna que aprovecha la asociación estadística entre la variable que se desea estimar —en este caso, el</w:t>
      </w:r>
      <w:r>
        <w:rPr>
          <w:lang w:val="es-MX"/>
        </w:rPr>
        <w:t xml:space="preserve"> Indicador Global de la Actividad Económica</w:t>
      </w:r>
      <w:r w:rsidRPr="00C93231">
        <w:rPr>
          <w:lang w:val="es-MX"/>
        </w:rPr>
        <w:t xml:space="preserve"> </w:t>
      </w:r>
      <w:r>
        <w:rPr>
          <w:lang w:val="es-MX"/>
        </w:rPr>
        <w:t>(</w:t>
      </w:r>
      <w:r w:rsidRPr="00C93231">
        <w:rPr>
          <w:smallCaps/>
          <w:lang w:val="es-MX"/>
        </w:rPr>
        <w:t>igae</w:t>
      </w:r>
      <w:r>
        <w:rPr>
          <w:smallCaps/>
          <w:lang w:val="es-MX"/>
        </w:rPr>
        <w:t>)</w:t>
      </w:r>
      <w:r w:rsidRPr="00C93231">
        <w:rPr>
          <w:lang w:val="es-MX"/>
        </w:rPr>
        <w:t>— y otras variables más oportunas que esta.</w:t>
      </w:r>
    </w:p>
    <w:p w14:paraId="5659B929" w14:textId="6E90533E" w:rsidR="005856AF" w:rsidRPr="00D5238C" w:rsidRDefault="00D43352" w:rsidP="003D4492">
      <w:pPr>
        <w:pStyle w:val="pie"/>
        <w:spacing w:after="0"/>
        <w:ind w:left="709" w:right="57" w:hanging="604"/>
        <w:rPr>
          <w:lang w:val="es-MX"/>
        </w:rPr>
      </w:pPr>
      <w:r w:rsidRPr="00D43352">
        <w:rPr>
          <w:vertAlign w:val="superscript"/>
          <w:lang w:val="es-MX"/>
        </w:rPr>
        <w:t>2</w:t>
      </w:r>
      <w:r w:rsidR="001952A1">
        <w:rPr>
          <w:vertAlign w:val="superscript"/>
          <w:lang w:val="es-MX"/>
        </w:rPr>
        <w:t>/</w:t>
      </w:r>
      <w:r w:rsidR="005856AF">
        <w:rPr>
          <w:lang w:val="es-MX"/>
        </w:rPr>
        <w:tab/>
      </w:r>
      <w:r w:rsidR="005856AF" w:rsidRPr="003C00D4">
        <w:rPr>
          <w:lang w:val="es-MX"/>
        </w:rPr>
        <w:t xml:space="preserve">Se considera como valor observado </w:t>
      </w:r>
      <w:r w:rsidR="00173A79" w:rsidRPr="00173A79">
        <w:rPr>
          <w:lang w:val="es-MX"/>
        </w:rPr>
        <w:t xml:space="preserve">según el </w:t>
      </w:r>
      <w:r w:rsidR="000B4629" w:rsidRPr="00C93231">
        <w:rPr>
          <w:lang w:val="es-MX"/>
        </w:rPr>
        <w:t>Indicador Mensual de la Actividad Industrial (</w:t>
      </w:r>
      <w:proofErr w:type="spellStart"/>
      <w:r w:rsidR="000B4629" w:rsidRPr="00C93231">
        <w:rPr>
          <w:smallCaps/>
          <w:lang w:val="es-MX"/>
        </w:rPr>
        <w:t>imai</w:t>
      </w:r>
      <w:proofErr w:type="spellEnd"/>
      <w:r w:rsidR="000B4629" w:rsidRPr="00C93231">
        <w:rPr>
          <w:lang w:val="es-MX"/>
        </w:rPr>
        <w:t>)</w:t>
      </w:r>
      <w:r w:rsidR="00173A79" w:rsidRPr="00173A79">
        <w:rPr>
          <w:lang w:val="es-MX"/>
        </w:rPr>
        <w:t>.</w:t>
      </w:r>
    </w:p>
    <w:p w14:paraId="3A747815" w14:textId="4D2713D7" w:rsidR="00970261" w:rsidRPr="00D5238C" w:rsidRDefault="00970261" w:rsidP="003D4492">
      <w:pPr>
        <w:pStyle w:val="pie"/>
        <w:spacing w:after="0"/>
        <w:ind w:left="709" w:right="57" w:hanging="604"/>
        <w:rPr>
          <w:lang w:val="es-MX"/>
        </w:rPr>
      </w:pPr>
      <w:r w:rsidRPr="00D5238C">
        <w:rPr>
          <w:lang w:val="es-MX"/>
        </w:rPr>
        <w:t>Fuente:</w:t>
      </w:r>
      <w:r w:rsidR="00491241">
        <w:rPr>
          <w:lang w:val="es-MX"/>
        </w:rPr>
        <w:tab/>
      </w:r>
      <w:r w:rsidR="00E16395" w:rsidRPr="00763FD0">
        <w:rPr>
          <w:smallCaps/>
          <w:lang w:val="es-MX"/>
        </w:rPr>
        <w:t>inegi</w:t>
      </w:r>
      <w:r w:rsidR="00796BC9">
        <w:rPr>
          <w:smallCaps/>
          <w:lang w:val="es-MX"/>
        </w:rPr>
        <w:t>.</w:t>
      </w:r>
      <w:r w:rsidR="009A73A3">
        <w:rPr>
          <w:smallCaps/>
          <w:lang w:val="es-MX"/>
        </w:rPr>
        <w:t xml:space="preserve"> </w:t>
      </w:r>
      <w:r w:rsidR="000B4629" w:rsidRPr="000B4629">
        <w:rPr>
          <w:lang w:val="es-MX"/>
        </w:rPr>
        <w:t>Indicador Oportuno de la Actividad Económica</w:t>
      </w:r>
      <w:r w:rsidR="000B4629" w:rsidRPr="000B4629">
        <w:rPr>
          <w:smallCaps/>
          <w:lang w:val="es-MX"/>
        </w:rPr>
        <w:t xml:space="preserve"> (ioae)</w:t>
      </w:r>
      <w:r w:rsidR="009A73A3">
        <w:rPr>
          <w:lang w:val="es-MX"/>
        </w:rPr>
        <w:t>.</w:t>
      </w:r>
      <w:r w:rsidR="00E16395">
        <w:rPr>
          <w:lang w:val="es-MX"/>
        </w:rPr>
        <w:t xml:space="preserve"> </w:t>
      </w:r>
      <w:r w:rsidR="00E16395" w:rsidRPr="00A43662">
        <w:rPr>
          <w:rStyle w:val="ui-provider"/>
          <w:lang w:val="es-MX"/>
        </w:rPr>
        <w:t>Cifras elaboradas mediante métodos econométricos, 202</w:t>
      </w:r>
      <w:r w:rsidR="0019343E">
        <w:rPr>
          <w:rStyle w:val="ui-provider"/>
          <w:lang w:val="es-MX"/>
        </w:rPr>
        <w:t>4</w:t>
      </w:r>
      <w:r w:rsidR="00E16395" w:rsidRPr="00A43662">
        <w:rPr>
          <w:rStyle w:val="ui-provider"/>
          <w:lang w:val="es-MX"/>
        </w:rPr>
        <w:t>.</w:t>
      </w:r>
    </w:p>
    <w:p w14:paraId="0192B270" w14:textId="17464532" w:rsidR="00096AED" w:rsidRDefault="00BF7224" w:rsidP="00C446B1">
      <w:pPr>
        <w:keepLines/>
        <w:spacing w:before="360"/>
        <w:rPr>
          <w:rFonts w:ascii="Times New Roman" w:hAnsi="Times New Roman" w:cs="Times New Roman"/>
          <w:lang w:val="es-MX" w:eastAsia="es-MX"/>
        </w:rPr>
      </w:pPr>
      <w:r w:rsidRPr="00BF7224">
        <w:rPr>
          <w:lang w:val="es-MX"/>
        </w:rPr>
        <w:t xml:space="preserve">Las gráficas 1, 2 y 3 muestran los resultados del </w:t>
      </w:r>
      <w:r w:rsidR="0096254A" w:rsidRPr="0096254A">
        <w:rPr>
          <w:smallCaps/>
          <w:lang w:val="es-MX"/>
        </w:rPr>
        <w:t>ioae</w:t>
      </w:r>
      <w:r w:rsidR="0096254A">
        <w:rPr>
          <w:lang w:val="es-MX"/>
        </w:rPr>
        <w:t xml:space="preserve"> </w:t>
      </w:r>
      <w:r w:rsidR="002F6AC7">
        <w:rPr>
          <w:lang w:val="es-MX"/>
        </w:rPr>
        <w:t>y de</w:t>
      </w:r>
      <w:r w:rsidRPr="00BF7224">
        <w:rPr>
          <w:lang w:val="es-MX"/>
        </w:rPr>
        <w:t xml:space="preserve"> las </w:t>
      </w:r>
      <w:r w:rsidR="00C3335C">
        <w:rPr>
          <w:lang w:val="es-MX"/>
        </w:rPr>
        <w:t>a</w:t>
      </w:r>
      <w:r w:rsidRPr="00BF7224">
        <w:rPr>
          <w:lang w:val="es-MX"/>
        </w:rPr>
        <w:t xml:space="preserve">ctividades </w:t>
      </w:r>
      <w:r w:rsidR="00C3335C">
        <w:rPr>
          <w:lang w:val="es-MX"/>
        </w:rPr>
        <w:t>s</w:t>
      </w:r>
      <w:r w:rsidRPr="00BF7224">
        <w:rPr>
          <w:lang w:val="es-MX"/>
        </w:rPr>
        <w:t>ecundarias</w:t>
      </w:r>
      <w:r w:rsidR="002F6AC7">
        <w:rPr>
          <w:lang w:val="es-MX"/>
        </w:rPr>
        <w:t xml:space="preserve"> y</w:t>
      </w:r>
      <w:r w:rsidRPr="00BF7224">
        <w:rPr>
          <w:lang w:val="es-MX"/>
        </w:rPr>
        <w:t xml:space="preserve"> </w:t>
      </w:r>
      <w:r w:rsidR="00C3335C">
        <w:rPr>
          <w:lang w:val="es-MX"/>
        </w:rPr>
        <w:t>t</w:t>
      </w:r>
      <w:r w:rsidRPr="00BF7224">
        <w:rPr>
          <w:lang w:val="es-MX"/>
        </w:rPr>
        <w:t>erciarias, respectivamente. En cada caso, la línea azul representa la variación porcentual anual de la serie de interés</w:t>
      </w:r>
      <w:r w:rsidR="0007593B">
        <w:rPr>
          <w:lang w:val="es-MX"/>
        </w:rPr>
        <w:t xml:space="preserve"> y</w:t>
      </w:r>
      <w:r w:rsidRPr="00BF7224">
        <w:rPr>
          <w:lang w:val="es-MX"/>
        </w:rPr>
        <w:t xml:space="preserve"> la línea negra </w:t>
      </w:r>
      <w:r w:rsidRPr="00A84E37">
        <w:rPr>
          <w:lang w:val="es-MX"/>
        </w:rPr>
        <w:t>punteada se refiere al ajuste del modelo de estimación</w:t>
      </w:r>
      <w:r w:rsidR="009C16FA">
        <w:rPr>
          <w:lang w:val="es-MX"/>
        </w:rPr>
        <w:t>. La</w:t>
      </w:r>
      <w:r w:rsidRPr="00A84E37">
        <w:rPr>
          <w:lang w:val="es-MX"/>
        </w:rPr>
        <w:t xml:space="preserve"> línea roja muestra los </w:t>
      </w:r>
      <w:proofErr w:type="spellStart"/>
      <w:r w:rsidRPr="00A84E37">
        <w:rPr>
          <w:i/>
          <w:iCs/>
          <w:lang w:val="es-MX"/>
        </w:rPr>
        <w:t>nowcasts</w:t>
      </w:r>
      <w:proofErr w:type="spellEnd"/>
      <w:r w:rsidRPr="00A84E37">
        <w:rPr>
          <w:rStyle w:val="Refdenotaalpie"/>
          <w:lang w:val="es-MX"/>
        </w:rPr>
        <w:footnoteReference w:id="2"/>
      </w:r>
      <w:r w:rsidRPr="00A84E37">
        <w:rPr>
          <w:lang w:val="es-MX"/>
        </w:rPr>
        <w:t xml:space="preserve"> de</w:t>
      </w:r>
      <w:r w:rsidR="00AE5266">
        <w:rPr>
          <w:lang w:val="es-MX"/>
        </w:rPr>
        <w:t xml:space="preserve"> </w:t>
      </w:r>
      <w:r w:rsidR="00B23C9D">
        <w:rPr>
          <w:lang w:val="es-MX"/>
        </w:rPr>
        <w:t>septiembre</w:t>
      </w:r>
      <w:r w:rsidR="00AE5266">
        <w:rPr>
          <w:lang w:val="es-MX"/>
        </w:rPr>
        <w:t xml:space="preserve"> </w:t>
      </w:r>
      <w:r w:rsidR="00222644">
        <w:rPr>
          <w:lang w:val="es-MX"/>
        </w:rPr>
        <w:t xml:space="preserve">y </w:t>
      </w:r>
      <w:r w:rsidR="00B23C9D">
        <w:rPr>
          <w:lang w:val="es-MX"/>
        </w:rPr>
        <w:t>octubre</w:t>
      </w:r>
      <w:r w:rsidR="0056492F">
        <w:rPr>
          <w:lang w:val="es-MX"/>
        </w:rPr>
        <w:t xml:space="preserve"> </w:t>
      </w:r>
      <w:r w:rsidR="00D40F50" w:rsidRPr="00A84E37">
        <w:rPr>
          <w:lang w:val="es-MX"/>
        </w:rPr>
        <w:t>de 202</w:t>
      </w:r>
      <w:r w:rsidR="0019343E">
        <w:rPr>
          <w:lang w:val="es-MX"/>
        </w:rPr>
        <w:t>4</w:t>
      </w:r>
      <w:r w:rsidRPr="00A84E37">
        <w:rPr>
          <w:lang w:val="es-MX"/>
        </w:rPr>
        <w:t>.</w:t>
      </w:r>
      <w:r w:rsidRPr="00A84E37">
        <w:rPr>
          <w:rStyle w:val="Refdenotaalpie"/>
          <w:lang w:val="es-MX"/>
        </w:rPr>
        <w:footnoteReference w:id="3"/>
      </w:r>
      <w:r w:rsidRPr="00A84E37">
        <w:rPr>
          <w:lang w:val="es-MX"/>
        </w:rPr>
        <w:t xml:space="preserve"> Las líneas verdes punteadas representan los intervalos de confianza a 95</w:t>
      </w:r>
      <w:r w:rsidR="00AD2948">
        <w:rPr>
          <w:lang w:val="es-MX"/>
        </w:rPr>
        <w:t>.0</w:t>
      </w:r>
      <w:r w:rsidRPr="00A84E37">
        <w:rPr>
          <w:lang w:val="es-MX"/>
        </w:rPr>
        <w:t xml:space="preserve"> por</w:t>
      </w:r>
      <w:r w:rsidRPr="00BF7224">
        <w:rPr>
          <w:lang w:val="es-MX"/>
        </w:rPr>
        <w:t xml:space="preserve"> ciento.</w:t>
      </w:r>
    </w:p>
    <w:p w14:paraId="76B02836" w14:textId="77777777" w:rsidR="00E645F5" w:rsidRDefault="00E645F5">
      <w:pPr>
        <w:jc w:val="left"/>
        <w:rPr>
          <w:sz w:val="20"/>
          <w:szCs w:val="20"/>
          <w:lang w:val="es-MX"/>
        </w:rPr>
      </w:pPr>
      <w:r>
        <w:rPr>
          <w:b/>
          <w:smallCaps/>
          <w:sz w:val="20"/>
          <w:szCs w:val="20"/>
        </w:rPr>
        <w:br w:type="page"/>
      </w:r>
    </w:p>
    <w:p w14:paraId="1355C9B6" w14:textId="50AF788A" w:rsidR="00970261" w:rsidRPr="004C6A26" w:rsidRDefault="00970261" w:rsidP="00E55357">
      <w:pPr>
        <w:pStyle w:val="Titcuadrograf"/>
        <w:spacing w:before="120"/>
        <w:ind w:left="0"/>
        <w:rPr>
          <w:b w:val="0"/>
          <w:smallCaps w:val="0"/>
          <w:sz w:val="20"/>
          <w:szCs w:val="20"/>
        </w:rPr>
      </w:pPr>
      <w:r w:rsidRPr="004C6A26">
        <w:rPr>
          <w:b w:val="0"/>
          <w:smallCaps w:val="0"/>
          <w:sz w:val="20"/>
          <w:szCs w:val="20"/>
        </w:rPr>
        <w:lastRenderedPageBreak/>
        <w:t>Gráfica 1</w:t>
      </w:r>
    </w:p>
    <w:p w14:paraId="5D280735" w14:textId="19DBA300" w:rsidR="00970261" w:rsidRDefault="00187383" w:rsidP="00970261">
      <w:pPr>
        <w:pStyle w:val="Titcuadrograf"/>
        <w:ind w:left="0"/>
        <w:rPr>
          <w:sz w:val="22"/>
          <w:szCs w:val="22"/>
        </w:rPr>
      </w:pPr>
      <w:r w:rsidRPr="00E15E72">
        <w:rPr>
          <w:sz w:val="22"/>
          <w:szCs w:val="22"/>
        </w:rPr>
        <w:t xml:space="preserve">ioae: </w:t>
      </w:r>
      <w:proofErr w:type="spellStart"/>
      <w:r>
        <w:rPr>
          <w:i/>
          <w:sz w:val="22"/>
          <w:szCs w:val="22"/>
        </w:rPr>
        <w:t>n</w:t>
      </w:r>
      <w:r w:rsidRPr="0075037F">
        <w:rPr>
          <w:i/>
          <w:sz w:val="22"/>
          <w:szCs w:val="22"/>
        </w:rPr>
        <w:t>owcast</w:t>
      </w:r>
      <w:proofErr w:type="spellEnd"/>
      <w:r w:rsidRPr="00E15E72">
        <w:rPr>
          <w:sz w:val="22"/>
          <w:szCs w:val="22"/>
        </w:rPr>
        <w:t xml:space="preserve"> del igae</w:t>
      </w:r>
    </w:p>
    <w:p w14:paraId="63A97004" w14:textId="1EE09C06" w:rsidR="00970261" w:rsidRPr="00177AEC" w:rsidRDefault="00187383" w:rsidP="00970261">
      <w:pPr>
        <w:pStyle w:val="Titcuadrograf"/>
        <w:ind w:left="0"/>
        <w:rPr>
          <w:b w:val="0"/>
          <w:smallCaps w:val="0"/>
          <w:sz w:val="20"/>
          <w:szCs w:val="20"/>
        </w:rPr>
      </w:pPr>
      <w:r w:rsidRPr="00177AEC">
        <w:rPr>
          <w:bCs/>
          <w:sz w:val="20"/>
          <w:szCs w:val="20"/>
        </w:rPr>
        <w:t>modelos estimados con series desestacionalizadas</w:t>
      </w:r>
    </w:p>
    <w:p w14:paraId="5597FA88" w14:textId="1528C4DF" w:rsidR="00BF7224" w:rsidRDefault="00BF7224" w:rsidP="00BF7224">
      <w:pPr>
        <w:jc w:val="center"/>
        <w:rPr>
          <w:sz w:val="18"/>
          <w:szCs w:val="18"/>
        </w:rPr>
      </w:pPr>
      <w:r>
        <w:rPr>
          <w:sz w:val="18"/>
          <w:szCs w:val="18"/>
        </w:rPr>
        <w:t>(</w:t>
      </w:r>
      <w:r w:rsidR="00D73316">
        <w:rPr>
          <w:sz w:val="18"/>
          <w:szCs w:val="18"/>
        </w:rPr>
        <w:t>v</w:t>
      </w:r>
      <w:r>
        <w:rPr>
          <w:sz w:val="18"/>
          <w:szCs w:val="18"/>
        </w:rPr>
        <w:t>ariación porcentual</w:t>
      </w:r>
      <w:r w:rsidR="00797B87">
        <w:rPr>
          <w:sz w:val="18"/>
          <w:szCs w:val="18"/>
        </w:rPr>
        <w:t xml:space="preserve"> real</w:t>
      </w:r>
      <w:r>
        <w:rPr>
          <w:sz w:val="18"/>
          <w:szCs w:val="18"/>
        </w:rPr>
        <w:t xml:space="preserve"> respecto al mismo mes del año anterior</w:t>
      </w:r>
      <w:r w:rsidR="00D73316">
        <w:rPr>
          <w:sz w:val="18"/>
          <w:szCs w:val="18"/>
        </w:rPr>
        <w:t>:</w:t>
      </w:r>
      <w:r w:rsidR="00AE5266">
        <w:rPr>
          <w:sz w:val="18"/>
          <w:szCs w:val="18"/>
        </w:rPr>
        <w:t xml:space="preserve"> </w:t>
      </w:r>
      <w:r w:rsidR="00B23C9D">
        <w:rPr>
          <w:sz w:val="18"/>
          <w:szCs w:val="18"/>
        </w:rPr>
        <w:t>septiembre</w:t>
      </w:r>
      <w:r w:rsidR="00AE5266">
        <w:rPr>
          <w:sz w:val="18"/>
          <w:szCs w:val="18"/>
        </w:rPr>
        <w:t xml:space="preserve"> </w:t>
      </w:r>
      <w:r w:rsidR="00187383">
        <w:rPr>
          <w:sz w:val="18"/>
          <w:szCs w:val="18"/>
        </w:rPr>
        <w:t>y</w:t>
      </w:r>
      <w:r w:rsidR="00222644">
        <w:rPr>
          <w:sz w:val="18"/>
          <w:szCs w:val="18"/>
        </w:rPr>
        <w:t xml:space="preserve"> </w:t>
      </w:r>
      <w:r w:rsidR="00B23C9D">
        <w:rPr>
          <w:sz w:val="18"/>
          <w:szCs w:val="18"/>
        </w:rPr>
        <w:t>octubre</w:t>
      </w:r>
      <w:r w:rsidR="009C03FE">
        <w:rPr>
          <w:sz w:val="18"/>
          <w:szCs w:val="18"/>
        </w:rPr>
        <w:t xml:space="preserve"> </w:t>
      </w:r>
      <w:r w:rsidR="00D40F50">
        <w:rPr>
          <w:sz w:val="18"/>
          <w:szCs w:val="18"/>
        </w:rPr>
        <w:t>de 202</w:t>
      </w:r>
      <w:r w:rsidR="007E322F">
        <w:rPr>
          <w:sz w:val="18"/>
          <w:szCs w:val="18"/>
        </w:rPr>
        <w:t>4</w:t>
      </w:r>
      <w:r>
        <w:rPr>
          <w:sz w:val="18"/>
          <w:szCs w:val="18"/>
        </w:rPr>
        <w:t>)</w:t>
      </w:r>
    </w:p>
    <w:p w14:paraId="491516AD" w14:textId="076FB143" w:rsidR="00F86705" w:rsidRDefault="00F86705" w:rsidP="003732C8">
      <w:pPr>
        <w:tabs>
          <w:tab w:val="left" w:pos="6540"/>
        </w:tabs>
        <w:jc w:val="center"/>
        <w:rPr>
          <w:sz w:val="18"/>
          <w:szCs w:val="18"/>
        </w:rPr>
      </w:pPr>
      <w:r>
        <w:rPr>
          <w:noProof/>
        </w:rPr>
        <w:drawing>
          <wp:inline distT="0" distB="0" distL="0" distR="0" wp14:anchorId="62F01A19" wp14:editId="7012D885">
            <wp:extent cx="5040000" cy="2520000"/>
            <wp:effectExtent l="0" t="0" r="8255" b="13970"/>
            <wp:docPr id="1716696232" name="Gráfico 1">
              <a:extLst xmlns:a="http://schemas.openxmlformats.org/drawingml/2006/main">
                <a:ext uri="{FF2B5EF4-FFF2-40B4-BE49-F238E27FC236}">
                  <a16:creationId xmlns:a16="http://schemas.microsoft.com/office/drawing/2014/main" id="{BD8D35EE-92BA-4DF7-8C15-3C6FA63447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1B67DA3" w14:textId="13D46D68" w:rsidR="00CA2517" w:rsidRPr="00D5238C" w:rsidRDefault="00CA2517" w:rsidP="000B4629">
      <w:pPr>
        <w:pStyle w:val="pie"/>
        <w:spacing w:after="0"/>
        <w:ind w:left="1701" w:right="1185" w:hanging="567"/>
        <w:rPr>
          <w:lang w:val="es-MX"/>
        </w:rPr>
      </w:pPr>
      <w:r w:rsidRPr="00D5238C">
        <w:rPr>
          <w:lang w:val="es-MX"/>
        </w:rPr>
        <w:t>Fuente:</w:t>
      </w:r>
      <w:r w:rsidR="000B4629">
        <w:rPr>
          <w:lang w:val="es-MX"/>
        </w:rPr>
        <w:tab/>
      </w:r>
      <w:r w:rsidR="00E16395" w:rsidRPr="00763FD0">
        <w:rPr>
          <w:smallCaps/>
          <w:lang w:val="es-MX"/>
        </w:rPr>
        <w:t>inegi</w:t>
      </w:r>
      <w:r w:rsidR="00796BC9">
        <w:rPr>
          <w:smallCaps/>
          <w:lang w:val="es-MX"/>
        </w:rPr>
        <w:t>.</w:t>
      </w:r>
      <w:r w:rsidR="009A73A3">
        <w:rPr>
          <w:smallCaps/>
          <w:lang w:val="es-MX"/>
        </w:rPr>
        <w:t xml:space="preserve"> </w:t>
      </w:r>
      <w:r w:rsidR="000B4629" w:rsidRPr="000B4629">
        <w:rPr>
          <w:lang w:val="es-MX"/>
        </w:rPr>
        <w:t>Indicador Oportuno de la Actividad Económica</w:t>
      </w:r>
      <w:r w:rsidR="000B4629" w:rsidRPr="000B4629">
        <w:rPr>
          <w:smallCaps/>
          <w:lang w:val="es-MX"/>
        </w:rPr>
        <w:t xml:space="preserve"> (ioae)</w:t>
      </w:r>
      <w:r w:rsidR="009A73A3">
        <w:rPr>
          <w:lang w:val="es-MX"/>
        </w:rPr>
        <w:t>.</w:t>
      </w:r>
      <w:r w:rsidR="00E16395">
        <w:rPr>
          <w:lang w:val="es-MX"/>
        </w:rPr>
        <w:t xml:space="preserve"> </w:t>
      </w:r>
      <w:r w:rsidR="00E16395">
        <w:rPr>
          <w:rStyle w:val="ui-provider"/>
          <w:lang w:val="es-MX"/>
        </w:rPr>
        <w:t>Series</w:t>
      </w:r>
      <w:r w:rsidR="00E16395" w:rsidRPr="00A43662">
        <w:rPr>
          <w:rStyle w:val="ui-provider"/>
          <w:lang w:val="es-MX"/>
        </w:rPr>
        <w:t xml:space="preserve"> elaboradas mediante métodos econométricos, 202</w:t>
      </w:r>
      <w:r w:rsidR="007E322F">
        <w:rPr>
          <w:rStyle w:val="ui-provider"/>
          <w:lang w:val="es-MX"/>
        </w:rPr>
        <w:t>4</w:t>
      </w:r>
      <w:r w:rsidR="00E16395" w:rsidRPr="00A43662">
        <w:rPr>
          <w:rStyle w:val="ui-provider"/>
          <w:lang w:val="es-MX"/>
        </w:rPr>
        <w:t>.</w:t>
      </w:r>
    </w:p>
    <w:p w14:paraId="131CF42B" w14:textId="3E045393" w:rsidR="00970261" w:rsidRPr="004C6A26" w:rsidRDefault="00970261" w:rsidP="00E645F5">
      <w:pPr>
        <w:pStyle w:val="Titcuadrograf"/>
        <w:spacing w:before="240"/>
        <w:ind w:left="0"/>
        <w:rPr>
          <w:b w:val="0"/>
          <w:smallCaps w:val="0"/>
          <w:sz w:val="20"/>
          <w:szCs w:val="20"/>
        </w:rPr>
      </w:pPr>
      <w:r w:rsidRPr="004C6A26">
        <w:rPr>
          <w:b w:val="0"/>
          <w:smallCaps w:val="0"/>
          <w:sz w:val="20"/>
          <w:szCs w:val="20"/>
        </w:rPr>
        <w:t xml:space="preserve">Gráfica </w:t>
      </w:r>
      <w:r>
        <w:rPr>
          <w:b w:val="0"/>
          <w:smallCaps w:val="0"/>
          <w:sz w:val="20"/>
          <w:szCs w:val="20"/>
        </w:rPr>
        <w:t>2</w:t>
      </w:r>
    </w:p>
    <w:p w14:paraId="58CFBE4E" w14:textId="1AB119E4" w:rsidR="00970261" w:rsidRDefault="00187383" w:rsidP="00970261">
      <w:pPr>
        <w:pStyle w:val="Titcuadrograf"/>
        <w:ind w:left="0"/>
        <w:rPr>
          <w:sz w:val="22"/>
          <w:szCs w:val="22"/>
        </w:rPr>
      </w:pPr>
      <w:r w:rsidRPr="00E15E72">
        <w:rPr>
          <w:sz w:val="22"/>
          <w:szCs w:val="22"/>
        </w:rPr>
        <w:t xml:space="preserve">ioae: </w:t>
      </w:r>
      <w:proofErr w:type="spellStart"/>
      <w:r>
        <w:rPr>
          <w:i/>
          <w:sz w:val="22"/>
          <w:szCs w:val="22"/>
        </w:rPr>
        <w:t>n</w:t>
      </w:r>
      <w:r w:rsidRPr="0075037F">
        <w:rPr>
          <w:i/>
          <w:sz w:val="22"/>
          <w:szCs w:val="22"/>
        </w:rPr>
        <w:t>owcast</w:t>
      </w:r>
      <w:proofErr w:type="spellEnd"/>
      <w:r w:rsidRPr="00E15E72">
        <w:rPr>
          <w:iCs/>
          <w:sz w:val="22"/>
          <w:szCs w:val="22"/>
        </w:rPr>
        <w:t xml:space="preserve"> </w:t>
      </w:r>
      <w:r w:rsidRPr="00E15E72">
        <w:rPr>
          <w:sz w:val="22"/>
          <w:szCs w:val="22"/>
        </w:rPr>
        <w:t>de las actividades secundarias</w:t>
      </w:r>
    </w:p>
    <w:p w14:paraId="34C4A861" w14:textId="7EE85889" w:rsidR="00970261" w:rsidRPr="00D00123" w:rsidRDefault="00187383" w:rsidP="00970261">
      <w:pPr>
        <w:pStyle w:val="Titcuadrograf"/>
        <w:ind w:left="0"/>
        <w:rPr>
          <w:rFonts w:ascii="Arial Negrita" w:hAnsi="Arial Negrita"/>
          <w:sz w:val="20"/>
          <w:szCs w:val="20"/>
        </w:rPr>
      </w:pPr>
      <w:r w:rsidRPr="00D00123">
        <w:rPr>
          <w:rFonts w:ascii="Arial Negrita" w:hAnsi="Arial Negrita"/>
          <w:sz w:val="20"/>
          <w:szCs w:val="20"/>
        </w:rPr>
        <w:t>modelos estimados con series desestacionalizadas</w:t>
      </w:r>
    </w:p>
    <w:p w14:paraId="2CC9A691" w14:textId="3CA97AE4" w:rsidR="00BF7224" w:rsidRDefault="00BF7224" w:rsidP="00BF7224">
      <w:pPr>
        <w:jc w:val="center"/>
        <w:rPr>
          <w:sz w:val="18"/>
          <w:szCs w:val="18"/>
        </w:rPr>
      </w:pPr>
      <w:r>
        <w:rPr>
          <w:sz w:val="18"/>
          <w:szCs w:val="18"/>
        </w:rPr>
        <w:t>(</w:t>
      </w:r>
      <w:r w:rsidR="00D73316">
        <w:rPr>
          <w:sz w:val="18"/>
          <w:szCs w:val="18"/>
        </w:rPr>
        <w:t>v</w:t>
      </w:r>
      <w:r>
        <w:rPr>
          <w:sz w:val="18"/>
          <w:szCs w:val="18"/>
        </w:rPr>
        <w:t xml:space="preserve">ariación porcentual </w:t>
      </w:r>
      <w:r w:rsidR="00797B87">
        <w:rPr>
          <w:sz w:val="18"/>
          <w:szCs w:val="18"/>
        </w:rPr>
        <w:t xml:space="preserve">real </w:t>
      </w:r>
      <w:r>
        <w:rPr>
          <w:sz w:val="18"/>
          <w:szCs w:val="18"/>
        </w:rPr>
        <w:t>respecto al mismo mes del año anterior</w:t>
      </w:r>
      <w:r w:rsidR="00D73316">
        <w:rPr>
          <w:sz w:val="18"/>
          <w:szCs w:val="18"/>
        </w:rPr>
        <w:t xml:space="preserve">: </w:t>
      </w:r>
      <w:r w:rsidR="00B23C9D">
        <w:rPr>
          <w:sz w:val="18"/>
          <w:szCs w:val="18"/>
        </w:rPr>
        <w:t>octubre</w:t>
      </w:r>
      <w:r w:rsidR="009C03FE">
        <w:rPr>
          <w:sz w:val="18"/>
          <w:szCs w:val="18"/>
        </w:rPr>
        <w:t xml:space="preserve"> </w:t>
      </w:r>
      <w:r>
        <w:rPr>
          <w:sz w:val="18"/>
          <w:szCs w:val="18"/>
        </w:rPr>
        <w:t>de 202</w:t>
      </w:r>
      <w:r w:rsidR="009C1033">
        <w:rPr>
          <w:sz w:val="18"/>
          <w:szCs w:val="18"/>
        </w:rPr>
        <w:t>4</w:t>
      </w:r>
      <w:r>
        <w:rPr>
          <w:sz w:val="18"/>
          <w:szCs w:val="18"/>
        </w:rPr>
        <w:t>)</w:t>
      </w:r>
    </w:p>
    <w:p w14:paraId="008F3E74" w14:textId="2AEAC811" w:rsidR="00F86705" w:rsidRDefault="00F86705" w:rsidP="00BF7224">
      <w:pPr>
        <w:jc w:val="center"/>
        <w:rPr>
          <w:b/>
          <w:bCs/>
          <w:sz w:val="23"/>
          <w:szCs w:val="23"/>
        </w:rPr>
      </w:pPr>
      <w:r>
        <w:rPr>
          <w:noProof/>
        </w:rPr>
        <w:drawing>
          <wp:inline distT="0" distB="0" distL="0" distR="0" wp14:anchorId="0C0A02B4" wp14:editId="311AD9DB">
            <wp:extent cx="5040000" cy="2520000"/>
            <wp:effectExtent l="0" t="0" r="8255" b="13970"/>
            <wp:docPr id="1237212266" name="Gráfico 1">
              <a:extLst xmlns:a="http://schemas.openxmlformats.org/drawingml/2006/main">
                <a:ext uri="{FF2B5EF4-FFF2-40B4-BE49-F238E27FC236}">
                  <a16:creationId xmlns:a16="http://schemas.microsoft.com/office/drawing/2014/main" id="{68C7EFB1-844D-4B39-96CD-9CE21D3634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4AF3275" w14:textId="77777777" w:rsidR="000B4629" w:rsidRPr="00D5238C" w:rsidRDefault="000B4629" w:rsidP="000B4629">
      <w:pPr>
        <w:pStyle w:val="pie"/>
        <w:spacing w:after="0"/>
        <w:ind w:left="1701" w:right="1185" w:hanging="567"/>
        <w:rPr>
          <w:lang w:val="es-MX"/>
        </w:rPr>
      </w:pPr>
      <w:r w:rsidRPr="00D5238C">
        <w:rPr>
          <w:lang w:val="es-MX"/>
        </w:rPr>
        <w:t>Fuente:</w:t>
      </w:r>
      <w:r>
        <w:rPr>
          <w:lang w:val="es-MX"/>
        </w:rPr>
        <w:tab/>
      </w:r>
      <w:r w:rsidRPr="00763FD0">
        <w:rPr>
          <w:smallCaps/>
          <w:lang w:val="es-MX"/>
        </w:rPr>
        <w:t>inegi</w:t>
      </w:r>
      <w:r>
        <w:rPr>
          <w:smallCaps/>
          <w:lang w:val="es-MX"/>
        </w:rPr>
        <w:t xml:space="preserve">. </w:t>
      </w:r>
      <w:r w:rsidRPr="000B4629">
        <w:rPr>
          <w:lang w:val="es-MX"/>
        </w:rPr>
        <w:t>Indicador Oportuno de la Actividad Económica</w:t>
      </w:r>
      <w:r w:rsidRPr="000B4629">
        <w:rPr>
          <w:smallCaps/>
          <w:lang w:val="es-MX"/>
        </w:rPr>
        <w:t xml:space="preserve"> (ioae)</w:t>
      </w:r>
      <w:r>
        <w:rPr>
          <w:lang w:val="es-MX"/>
        </w:rPr>
        <w:t xml:space="preserve">. </w:t>
      </w:r>
      <w:r>
        <w:rPr>
          <w:rStyle w:val="ui-provider"/>
          <w:lang w:val="es-MX"/>
        </w:rPr>
        <w:t>Series</w:t>
      </w:r>
      <w:r w:rsidRPr="00A43662">
        <w:rPr>
          <w:rStyle w:val="ui-provider"/>
          <w:lang w:val="es-MX"/>
        </w:rPr>
        <w:t xml:space="preserve"> elaboradas mediante métodos econométricos, 202</w:t>
      </w:r>
      <w:r>
        <w:rPr>
          <w:rStyle w:val="ui-provider"/>
          <w:lang w:val="es-MX"/>
        </w:rPr>
        <w:t>4</w:t>
      </w:r>
      <w:r w:rsidRPr="00A43662">
        <w:rPr>
          <w:rStyle w:val="ui-provider"/>
          <w:lang w:val="es-MX"/>
        </w:rPr>
        <w:t>.</w:t>
      </w:r>
    </w:p>
    <w:p w14:paraId="27C0FC5A" w14:textId="77777777" w:rsidR="00E645F5" w:rsidRDefault="00E645F5">
      <w:pPr>
        <w:jc w:val="left"/>
        <w:rPr>
          <w:sz w:val="20"/>
          <w:szCs w:val="20"/>
          <w:lang w:val="es-MX"/>
        </w:rPr>
      </w:pPr>
      <w:r>
        <w:rPr>
          <w:b/>
          <w:smallCaps/>
          <w:sz w:val="20"/>
          <w:szCs w:val="20"/>
        </w:rPr>
        <w:br w:type="page"/>
      </w:r>
    </w:p>
    <w:p w14:paraId="0DAF0A0A" w14:textId="5F0396E7" w:rsidR="00096AED" w:rsidRPr="004C6A26" w:rsidRDefault="00970261" w:rsidP="008B77D2">
      <w:pPr>
        <w:pStyle w:val="Titcuadrograf"/>
        <w:spacing w:before="240"/>
        <w:ind w:left="0"/>
        <w:rPr>
          <w:b w:val="0"/>
          <w:smallCaps w:val="0"/>
          <w:sz w:val="20"/>
          <w:szCs w:val="20"/>
        </w:rPr>
      </w:pPr>
      <w:r w:rsidRPr="004C6A26">
        <w:rPr>
          <w:b w:val="0"/>
          <w:smallCaps w:val="0"/>
          <w:sz w:val="20"/>
          <w:szCs w:val="20"/>
        </w:rPr>
        <w:lastRenderedPageBreak/>
        <w:t xml:space="preserve">Gráfica </w:t>
      </w:r>
      <w:r>
        <w:rPr>
          <w:b w:val="0"/>
          <w:smallCaps w:val="0"/>
          <w:sz w:val="20"/>
          <w:szCs w:val="20"/>
        </w:rPr>
        <w:t>3</w:t>
      </w:r>
    </w:p>
    <w:p w14:paraId="701493A6" w14:textId="37A86FDF" w:rsidR="009F3C12" w:rsidRDefault="00187383" w:rsidP="009F3C12">
      <w:pPr>
        <w:pStyle w:val="Titcuadrograf"/>
        <w:ind w:left="0"/>
        <w:rPr>
          <w:sz w:val="22"/>
          <w:szCs w:val="22"/>
        </w:rPr>
      </w:pPr>
      <w:r w:rsidRPr="00E15E72">
        <w:rPr>
          <w:sz w:val="22"/>
          <w:szCs w:val="22"/>
        </w:rPr>
        <w:t xml:space="preserve">ioae: </w:t>
      </w:r>
      <w:proofErr w:type="spellStart"/>
      <w:r>
        <w:rPr>
          <w:i/>
          <w:sz w:val="22"/>
          <w:szCs w:val="22"/>
        </w:rPr>
        <w:t>n</w:t>
      </w:r>
      <w:r w:rsidRPr="0075037F">
        <w:rPr>
          <w:i/>
          <w:sz w:val="22"/>
          <w:szCs w:val="22"/>
        </w:rPr>
        <w:t>owcast</w:t>
      </w:r>
      <w:proofErr w:type="spellEnd"/>
      <w:r w:rsidRPr="00E15E72">
        <w:rPr>
          <w:iCs/>
          <w:sz w:val="22"/>
          <w:szCs w:val="22"/>
        </w:rPr>
        <w:t xml:space="preserve"> </w:t>
      </w:r>
      <w:r w:rsidRPr="00E15E72">
        <w:rPr>
          <w:sz w:val="22"/>
          <w:szCs w:val="22"/>
        </w:rPr>
        <w:t xml:space="preserve">de las actividades </w:t>
      </w:r>
      <w:r>
        <w:rPr>
          <w:sz w:val="22"/>
          <w:szCs w:val="22"/>
        </w:rPr>
        <w:t>terciarias</w:t>
      </w:r>
    </w:p>
    <w:p w14:paraId="04FF8893" w14:textId="37099C5D" w:rsidR="00970261" w:rsidRPr="00177AEC" w:rsidRDefault="00187383" w:rsidP="00970261">
      <w:pPr>
        <w:pStyle w:val="Titcuadrograf"/>
        <w:ind w:left="0"/>
        <w:rPr>
          <w:bCs/>
          <w:sz w:val="20"/>
          <w:szCs w:val="20"/>
        </w:rPr>
      </w:pPr>
      <w:r w:rsidRPr="00177AEC">
        <w:rPr>
          <w:bCs/>
          <w:sz w:val="20"/>
          <w:szCs w:val="20"/>
        </w:rPr>
        <w:t>modelos estimados con series desestacionalizadas</w:t>
      </w:r>
    </w:p>
    <w:p w14:paraId="2BB14DCD" w14:textId="457D51E9" w:rsidR="00C01316" w:rsidRDefault="00C01316" w:rsidP="00C01316">
      <w:pPr>
        <w:jc w:val="center"/>
        <w:rPr>
          <w:sz w:val="18"/>
          <w:szCs w:val="18"/>
        </w:rPr>
      </w:pPr>
      <w:r w:rsidRPr="00C01316">
        <w:rPr>
          <w:sz w:val="18"/>
          <w:szCs w:val="18"/>
        </w:rPr>
        <w:t>(</w:t>
      </w:r>
      <w:r w:rsidR="00D73316">
        <w:rPr>
          <w:sz w:val="18"/>
          <w:szCs w:val="18"/>
        </w:rPr>
        <w:t>v</w:t>
      </w:r>
      <w:r w:rsidRPr="00C01316">
        <w:rPr>
          <w:sz w:val="18"/>
          <w:szCs w:val="18"/>
        </w:rPr>
        <w:t xml:space="preserve">ariación porcentual </w:t>
      </w:r>
      <w:r w:rsidR="00797B87">
        <w:rPr>
          <w:sz w:val="18"/>
          <w:szCs w:val="18"/>
        </w:rPr>
        <w:t xml:space="preserve">real </w:t>
      </w:r>
      <w:r w:rsidRPr="00C01316">
        <w:rPr>
          <w:sz w:val="18"/>
          <w:szCs w:val="18"/>
        </w:rPr>
        <w:t>respecto al mismo mes del año anterior</w:t>
      </w:r>
      <w:r w:rsidR="00D73316">
        <w:rPr>
          <w:sz w:val="18"/>
          <w:szCs w:val="18"/>
        </w:rPr>
        <w:t>:</w:t>
      </w:r>
      <w:r w:rsidR="00AE5266">
        <w:rPr>
          <w:sz w:val="18"/>
          <w:szCs w:val="18"/>
        </w:rPr>
        <w:t xml:space="preserve"> </w:t>
      </w:r>
      <w:r w:rsidR="00B23C9D">
        <w:rPr>
          <w:sz w:val="18"/>
          <w:szCs w:val="18"/>
        </w:rPr>
        <w:t>septiembre</w:t>
      </w:r>
      <w:r w:rsidR="00AE5266">
        <w:rPr>
          <w:sz w:val="18"/>
          <w:szCs w:val="18"/>
        </w:rPr>
        <w:t xml:space="preserve"> </w:t>
      </w:r>
      <w:r w:rsidR="00222644">
        <w:rPr>
          <w:sz w:val="18"/>
          <w:szCs w:val="18"/>
        </w:rPr>
        <w:t xml:space="preserve">y </w:t>
      </w:r>
      <w:r w:rsidR="00B23C9D">
        <w:rPr>
          <w:sz w:val="18"/>
          <w:szCs w:val="18"/>
        </w:rPr>
        <w:t>octubre</w:t>
      </w:r>
      <w:r w:rsidR="009C03FE">
        <w:rPr>
          <w:sz w:val="18"/>
          <w:szCs w:val="18"/>
        </w:rPr>
        <w:t xml:space="preserve"> </w:t>
      </w:r>
      <w:r w:rsidRPr="00C01316">
        <w:rPr>
          <w:sz w:val="18"/>
          <w:szCs w:val="18"/>
        </w:rPr>
        <w:t>de 202</w:t>
      </w:r>
      <w:r w:rsidR="009C1033">
        <w:rPr>
          <w:sz w:val="18"/>
          <w:szCs w:val="18"/>
        </w:rPr>
        <w:t>4</w:t>
      </w:r>
      <w:r w:rsidRPr="00C01316">
        <w:rPr>
          <w:sz w:val="18"/>
          <w:szCs w:val="18"/>
        </w:rPr>
        <w:t>)</w:t>
      </w:r>
    </w:p>
    <w:p w14:paraId="7A3D98F5" w14:textId="058591F3" w:rsidR="00F86705" w:rsidRDefault="00F86705" w:rsidP="277D78A8">
      <w:pPr>
        <w:pStyle w:val="Titcuadrograf"/>
        <w:ind w:left="0"/>
        <w:rPr>
          <w:sz w:val="22"/>
          <w:szCs w:val="22"/>
        </w:rPr>
      </w:pPr>
      <w:r>
        <w:rPr>
          <w:noProof/>
        </w:rPr>
        <w:drawing>
          <wp:inline distT="0" distB="0" distL="0" distR="0" wp14:anchorId="703CC103" wp14:editId="48BE5B1E">
            <wp:extent cx="5040000" cy="2520000"/>
            <wp:effectExtent l="0" t="0" r="8255" b="13970"/>
            <wp:docPr id="1730380358" name="Gráfico 1">
              <a:extLst xmlns:a="http://schemas.openxmlformats.org/drawingml/2006/main">
                <a:ext uri="{FF2B5EF4-FFF2-40B4-BE49-F238E27FC236}">
                  <a16:creationId xmlns:a16="http://schemas.microsoft.com/office/drawing/2014/main" id="{788F7271-1882-4984-9F3B-17DFFA2CA9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02F678D" w14:textId="77777777" w:rsidR="000B4629" w:rsidRPr="00D5238C" w:rsidRDefault="000B4629" w:rsidP="000B4629">
      <w:pPr>
        <w:pStyle w:val="pie"/>
        <w:spacing w:after="0"/>
        <w:ind w:left="1701" w:right="1185" w:hanging="567"/>
        <w:rPr>
          <w:lang w:val="es-MX"/>
        </w:rPr>
      </w:pPr>
      <w:r w:rsidRPr="00D5238C">
        <w:rPr>
          <w:lang w:val="es-MX"/>
        </w:rPr>
        <w:t>Fuente:</w:t>
      </w:r>
      <w:r>
        <w:rPr>
          <w:lang w:val="es-MX"/>
        </w:rPr>
        <w:tab/>
      </w:r>
      <w:r w:rsidRPr="00763FD0">
        <w:rPr>
          <w:smallCaps/>
          <w:lang w:val="es-MX"/>
        </w:rPr>
        <w:t>inegi</w:t>
      </w:r>
      <w:r>
        <w:rPr>
          <w:smallCaps/>
          <w:lang w:val="es-MX"/>
        </w:rPr>
        <w:t xml:space="preserve">. </w:t>
      </w:r>
      <w:r w:rsidRPr="000B4629">
        <w:rPr>
          <w:lang w:val="es-MX"/>
        </w:rPr>
        <w:t>Indicador Oportuno de la Actividad Económica</w:t>
      </w:r>
      <w:r w:rsidRPr="000B4629">
        <w:rPr>
          <w:smallCaps/>
          <w:lang w:val="es-MX"/>
        </w:rPr>
        <w:t xml:space="preserve"> (ioae)</w:t>
      </w:r>
      <w:r>
        <w:rPr>
          <w:lang w:val="es-MX"/>
        </w:rPr>
        <w:t xml:space="preserve">. </w:t>
      </w:r>
      <w:r>
        <w:rPr>
          <w:rStyle w:val="ui-provider"/>
          <w:lang w:val="es-MX"/>
        </w:rPr>
        <w:t>Series</w:t>
      </w:r>
      <w:r w:rsidRPr="00A43662">
        <w:rPr>
          <w:rStyle w:val="ui-provider"/>
          <w:lang w:val="es-MX"/>
        </w:rPr>
        <w:t xml:space="preserve"> elaboradas mediante métodos econométricos, 202</w:t>
      </w:r>
      <w:r>
        <w:rPr>
          <w:rStyle w:val="ui-provider"/>
          <w:lang w:val="es-MX"/>
        </w:rPr>
        <w:t>4</w:t>
      </w:r>
      <w:r w:rsidRPr="00A43662">
        <w:rPr>
          <w:rStyle w:val="ui-provider"/>
          <w:lang w:val="es-MX"/>
        </w:rPr>
        <w:t>.</w:t>
      </w:r>
    </w:p>
    <w:p w14:paraId="0DB45385" w14:textId="13FD0828" w:rsidR="00970261" w:rsidRPr="00EA35DD" w:rsidRDefault="358C8EA8" w:rsidP="00481380">
      <w:pPr>
        <w:spacing w:before="360"/>
        <w:rPr>
          <w:spacing w:val="-2"/>
          <w:sz w:val="20"/>
          <w:szCs w:val="20"/>
          <w:lang w:val="es-MX"/>
        </w:rPr>
      </w:pPr>
      <w:r w:rsidRPr="00EA35DD">
        <w:rPr>
          <w:spacing w:val="-2"/>
          <w:lang w:val="es-MX"/>
        </w:rPr>
        <w:t xml:space="preserve">Las gráficas 4 y 5 muestran las estimaciones para el </w:t>
      </w:r>
      <w:r w:rsidR="00B93294" w:rsidRPr="00B93294">
        <w:rPr>
          <w:smallCaps/>
          <w:spacing w:val="-2"/>
          <w:lang w:val="es-MX"/>
        </w:rPr>
        <w:t>igae</w:t>
      </w:r>
      <w:r w:rsidRPr="00EA35DD">
        <w:rPr>
          <w:spacing w:val="-2"/>
          <w:lang w:val="es-MX"/>
        </w:rPr>
        <w:t xml:space="preserve">, por medio del </w:t>
      </w:r>
      <w:r w:rsidR="00B93294" w:rsidRPr="00B93294">
        <w:rPr>
          <w:smallCaps/>
          <w:spacing w:val="-2"/>
          <w:lang w:val="es-MX"/>
        </w:rPr>
        <w:t>ioae</w:t>
      </w:r>
      <w:r w:rsidRPr="00EA35DD">
        <w:rPr>
          <w:spacing w:val="-2"/>
          <w:lang w:val="es-MX"/>
        </w:rPr>
        <w:t>, de la variación porcentual real con relación al mes anterior y del índice (base 201</w:t>
      </w:r>
      <w:r w:rsidR="000009A7">
        <w:rPr>
          <w:spacing w:val="-2"/>
          <w:lang w:val="es-MX"/>
        </w:rPr>
        <w:t>8</w:t>
      </w:r>
      <w:r w:rsidRPr="00EA35DD">
        <w:rPr>
          <w:spacing w:val="-2"/>
          <w:lang w:val="es-MX"/>
        </w:rPr>
        <w:t>=100), respectivamente. En cada caso, la línea azul representa el valor observado</w:t>
      </w:r>
      <w:r w:rsidR="00AF6EA3">
        <w:rPr>
          <w:spacing w:val="-2"/>
          <w:lang w:val="es-MX"/>
        </w:rPr>
        <w:t xml:space="preserve"> y</w:t>
      </w:r>
      <w:r w:rsidRPr="00EA35DD">
        <w:rPr>
          <w:spacing w:val="-2"/>
          <w:lang w:val="es-MX"/>
        </w:rPr>
        <w:t xml:space="preserve"> la línea negra punteada muestra el ajuste del modelo de estimación</w:t>
      </w:r>
      <w:r w:rsidR="00AF6EA3">
        <w:rPr>
          <w:spacing w:val="-2"/>
          <w:lang w:val="es-MX"/>
        </w:rPr>
        <w:t>. La</w:t>
      </w:r>
      <w:r w:rsidR="005D0E82">
        <w:rPr>
          <w:spacing w:val="-2"/>
          <w:lang w:val="es-MX"/>
        </w:rPr>
        <w:t xml:space="preserve"> línea</w:t>
      </w:r>
      <w:r w:rsidR="00AF6EA3">
        <w:rPr>
          <w:spacing w:val="-2"/>
          <w:lang w:val="es-MX"/>
        </w:rPr>
        <w:t xml:space="preserve"> roja son </w:t>
      </w:r>
      <w:r w:rsidRPr="00EA35DD">
        <w:rPr>
          <w:spacing w:val="-2"/>
          <w:lang w:val="es-MX"/>
        </w:rPr>
        <w:t xml:space="preserve">los </w:t>
      </w:r>
      <w:proofErr w:type="spellStart"/>
      <w:r w:rsidRPr="277D78A8">
        <w:rPr>
          <w:i/>
          <w:iCs/>
          <w:spacing w:val="-2"/>
          <w:lang w:val="es-MX"/>
        </w:rPr>
        <w:t>nowcasts</w:t>
      </w:r>
      <w:proofErr w:type="spellEnd"/>
      <w:r w:rsidRPr="00EA35DD">
        <w:rPr>
          <w:spacing w:val="-2"/>
          <w:lang w:val="es-MX"/>
        </w:rPr>
        <w:t xml:space="preserve"> de</w:t>
      </w:r>
      <w:r w:rsidR="00AE5266">
        <w:rPr>
          <w:lang w:val="es-MX"/>
        </w:rPr>
        <w:t xml:space="preserve"> </w:t>
      </w:r>
      <w:r w:rsidR="00B23C9D">
        <w:rPr>
          <w:lang w:val="es-MX"/>
        </w:rPr>
        <w:t>septiembre</w:t>
      </w:r>
      <w:r w:rsidR="00AE5266">
        <w:rPr>
          <w:lang w:val="es-MX"/>
        </w:rPr>
        <w:t xml:space="preserve"> </w:t>
      </w:r>
      <w:r w:rsidR="00E16102">
        <w:rPr>
          <w:lang w:val="es-MX"/>
        </w:rPr>
        <w:t xml:space="preserve">y </w:t>
      </w:r>
      <w:r w:rsidR="00B23C9D">
        <w:rPr>
          <w:lang w:val="es-MX"/>
        </w:rPr>
        <w:t>octubre</w:t>
      </w:r>
      <w:r w:rsidR="009C03FE">
        <w:rPr>
          <w:lang w:val="es-MX"/>
        </w:rPr>
        <w:t xml:space="preserve"> </w:t>
      </w:r>
      <w:r w:rsidR="57E5C8E3">
        <w:rPr>
          <w:lang w:val="es-MX"/>
        </w:rPr>
        <w:t>de 202</w:t>
      </w:r>
      <w:r w:rsidR="009C1033">
        <w:rPr>
          <w:lang w:val="es-MX"/>
        </w:rPr>
        <w:t>4</w:t>
      </w:r>
      <w:r w:rsidR="005D0E82">
        <w:rPr>
          <w:lang w:val="es-MX"/>
        </w:rPr>
        <w:t xml:space="preserve"> y las </w:t>
      </w:r>
      <w:r w:rsidRPr="00EA35DD">
        <w:rPr>
          <w:spacing w:val="-2"/>
          <w:lang w:val="es-MX"/>
        </w:rPr>
        <w:t>verdes punteadas representan los intervalos de confianza a 95</w:t>
      </w:r>
      <w:r w:rsidR="00F71C8F">
        <w:rPr>
          <w:spacing w:val="-2"/>
          <w:lang w:val="es-MX"/>
        </w:rPr>
        <w:t>.0</w:t>
      </w:r>
      <w:r w:rsidRPr="00EA35DD">
        <w:rPr>
          <w:spacing w:val="-2"/>
          <w:lang w:val="es-MX"/>
        </w:rPr>
        <w:t xml:space="preserve"> por ciento.</w:t>
      </w:r>
    </w:p>
    <w:p w14:paraId="59F4E02B" w14:textId="77777777" w:rsidR="00970261" w:rsidRPr="004C6A26" w:rsidRDefault="00970261" w:rsidP="00970261">
      <w:pPr>
        <w:pStyle w:val="Titcuadrograf"/>
        <w:spacing w:before="240"/>
        <w:ind w:left="0"/>
        <w:rPr>
          <w:b w:val="0"/>
          <w:smallCaps w:val="0"/>
          <w:sz w:val="20"/>
          <w:szCs w:val="20"/>
        </w:rPr>
      </w:pPr>
      <w:r w:rsidRPr="004C6A26">
        <w:rPr>
          <w:b w:val="0"/>
          <w:smallCaps w:val="0"/>
          <w:sz w:val="20"/>
          <w:szCs w:val="20"/>
        </w:rPr>
        <w:t xml:space="preserve">Gráfica </w:t>
      </w:r>
      <w:r>
        <w:rPr>
          <w:b w:val="0"/>
          <w:smallCaps w:val="0"/>
          <w:sz w:val="20"/>
          <w:szCs w:val="20"/>
        </w:rPr>
        <w:t>4</w:t>
      </w:r>
    </w:p>
    <w:p w14:paraId="2248BD12" w14:textId="3909A5B3" w:rsidR="00970261" w:rsidRDefault="00187383" w:rsidP="00970261">
      <w:pPr>
        <w:pStyle w:val="Titcuadrograf"/>
        <w:ind w:left="0"/>
        <w:rPr>
          <w:sz w:val="22"/>
          <w:szCs w:val="22"/>
        </w:rPr>
      </w:pPr>
      <w:r w:rsidRPr="00E15E72">
        <w:rPr>
          <w:sz w:val="22"/>
          <w:szCs w:val="22"/>
        </w:rPr>
        <w:t xml:space="preserve">ioae: </w:t>
      </w:r>
      <w:proofErr w:type="spellStart"/>
      <w:r>
        <w:rPr>
          <w:i/>
          <w:sz w:val="22"/>
          <w:szCs w:val="22"/>
        </w:rPr>
        <w:t>n</w:t>
      </w:r>
      <w:r w:rsidRPr="0075037F">
        <w:rPr>
          <w:i/>
          <w:sz w:val="22"/>
          <w:szCs w:val="22"/>
        </w:rPr>
        <w:t>owcast</w:t>
      </w:r>
      <w:proofErr w:type="spellEnd"/>
      <w:r w:rsidRPr="00E15E72">
        <w:rPr>
          <w:sz w:val="22"/>
          <w:szCs w:val="22"/>
        </w:rPr>
        <w:t xml:space="preserve"> del igae</w:t>
      </w:r>
    </w:p>
    <w:p w14:paraId="5B8A2125" w14:textId="0FD27DA4" w:rsidR="00970261" w:rsidRPr="00177AEC" w:rsidRDefault="00187383" w:rsidP="00970261">
      <w:pPr>
        <w:pStyle w:val="Titcuadrograf"/>
        <w:ind w:left="0"/>
        <w:rPr>
          <w:sz w:val="20"/>
          <w:szCs w:val="20"/>
        </w:rPr>
      </w:pPr>
      <w:r w:rsidRPr="00177AEC">
        <w:rPr>
          <w:sz w:val="20"/>
          <w:szCs w:val="20"/>
        </w:rPr>
        <w:t>modelos estimados con series desestacionalizadas</w:t>
      </w:r>
    </w:p>
    <w:p w14:paraId="13512600" w14:textId="2F9D92FC" w:rsidR="00E72CC1" w:rsidRDefault="002C3968" w:rsidP="00E72CC1">
      <w:pPr>
        <w:jc w:val="center"/>
        <w:rPr>
          <w:sz w:val="18"/>
          <w:szCs w:val="18"/>
        </w:rPr>
      </w:pPr>
      <w:r w:rsidRPr="002C3968">
        <w:rPr>
          <w:sz w:val="18"/>
          <w:szCs w:val="18"/>
        </w:rPr>
        <w:t>(</w:t>
      </w:r>
      <w:r w:rsidR="00B93294">
        <w:rPr>
          <w:sz w:val="18"/>
          <w:szCs w:val="18"/>
        </w:rPr>
        <w:t>v</w:t>
      </w:r>
      <w:r w:rsidRPr="002C3968">
        <w:rPr>
          <w:sz w:val="18"/>
          <w:szCs w:val="18"/>
        </w:rPr>
        <w:t>ariación porcentual real respecto al mes anterior</w:t>
      </w:r>
      <w:r w:rsidR="00B93294">
        <w:rPr>
          <w:sz w:val="18"/>
          <w:szCs w:val="18"/>
        </w:rPr>
        <w:t>:</w:t>
      </w:r>
      <w:r w:rsidR="00AE5266">
        <w:rPr>
          <w:sz w:val="18"/>
          <w:szCs w:val="18"/>
        </w:rPr>
        <w:t xml:space="preserve"> </w:t>
      </w:r>
      <w:r w:rsidR="00B23C9D">
        <w:rPr>
          <w:sz w:val="18"/>
          <w:szCs w:val="18"/>
        </w:rPr>
        <w:t>septiembre</w:t>
      </w:r>
      <w:r w:rsidR="00AE5266">
        <w:rPr>
          <w:sz w:val="18"/>
          <w:szCs w:val="18"/>
        </w:rPr>
        <w:t xml:space="preserve"> </w:t>
      </w:r>
      <w:r w:rsidR="00222644">
        <w:rPr>
          <w:sz w:val="18"/>
          <w:szCs w:val="18"/>
        </w:rPr>
        <w:t xml:space="preserve">y </w:t>
      </w:r>
      <w:r w:rsidR="00B23C9D">
        <w:rPr>
          <w:sz w:val="18"/>
          <w:szCs w:val="18"/>
        </w:rPr>
        <w:t>octubre</w:t>
      </w:r>
      <w:r w:rsidR="009C03FE">
        <w:rPr>
          <w:sz w:val="18"/>
          <w:szCs w:val="18"/>
        </w:rPr>
        <w:t xml:space="preserve"> </w:t>
      </w:r>
      <w:r w:rsidRPr="002C3968">
        <w:rPr>
          <w:sz w:val="18"/>
          <w:szCs w:val="18"/>
        </w:rPr>
        <w:t>de 202</w:t>
      </w:r>
      <w:r w:rsidR="009C1033">
        <w:rPr>
          <w:sz w:val="18"/>
          <w:szCs w:val="18"/>
        </w:rPr>
        <w:t>4</w:t>
      </w:r>
      <w:r w:rsidRPr="002C3968">
        <w:rPr>
          <w:sz w:val="18"/>
          <w:szCs w:val="18"/>
        </w:rPr>
        <w:t>)</w:t>
      </w:r>
    </w:p>
    <w:p w14:paraId="42BFD992" w14:textId="4F40A39B" w:rsidR="00693229" w:rsidRDefault="00693229" w:rsidP="277D78A8">
      <w:pPr>
        <w:pStyle w:val="Titcuadrograf"/>
        <w:ind w:left="0"/>
        <w:rPr>
          <w:b w:val="0"/>
          <w:smallCaps w:val="0"/>
          <w:sz w:val="20"/>
          <w:szCs w:val="20"/>
        </w:rPr>
      </w:pPr>
      <w:r>
        <w:rPr>
          <w:noProof/>
        </w:rPr>
        <w:drawing>
          <wp:inline distT="0" distB="0" distL="0" distR="0" wp14:anchorId="7DD141DA" wp14:editId="2E77753F">
            <wp:extent cx="5040000" cy="2520000"/>
            <wp:effectExtent l="0" t="0" r="8255" b="13970"/>
            <wp:docPr id="730047235" name="Gráfico 1">
              <a:extLst xmlns:a="http://schemas.openxmlformats.org/drawingml/2006/main">
                <a:ext uri="{FF2B5EF4-FFF2-40B4-BE49-F238E27FC236}">
                  <a16:creationId xmlns:a16="http://schemas.microsoft.com/office/drawing/2014/main" id="{9F3CA87D-E166-4F24-97AA-F173FD3765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5A47D24" w14:textId="77777777" w:rsidR="000B4629" w:rsidRPr="00D5238C" w:rsidRDefault="000B4629" w:rsidP="000B4629">
      <w:pPr>
        <w:pStyle w:val="pie"/>
        <w:spacing w:after="0"/>
        <w:ind w:left="1701" w:right="1185" w:hanging="567"/>
        <w:rPr>
          <w:lang w:val="es-MX"/>
        </w:rPr>
      </w:pPr>
      <w:r w:rsidRPr="00D5238C">
        <w:rPr>
          <w:lang w:val="es-MX"/>
        </w:rPr>
        <w:t>Fuente:</w:t>
      </w:r>
      <w:r>
        <w:rPr>
          <w:lang w:val="es-MX"/>
        </w:rPr>
        <w:tab/>
      </w:r>
      <w:r w:rsidRPr="00763FD0">
        <w:rPr>
          <w:smallCaps/>
          <w:lang w:val="es-MX"/>
        </w:rPr>
        <w:t>inegi</w:t>
      </w:r>
      <w:r>
        <w:rPr>
          <w:smallCaps/>
          <w:lang w:val="es-MX"/>
        </w:rPr>
        <w:t xml:space="preserve">. </w:t>
      </w:r>
      <w:r w:rsidRPr="000B4629">
        <w:rPr>
          <w:lang w:val="es-MX"/>
        </w:rPr>
        <w:t>Indicador Oportuno de la Actividad Económica</w:t>
      </w:r>
      <w:r w:rsidRPr="000B4629">
        <w:rPr>
          <w:smallCaps/>
          <w:lang w:val="es-MX"/>
        </w:rPr>
        <w:t xml:space="preserve"> (ioae)</w:t>
      </w:r>
      <w:r>
        <w:rPr>
          <w:lang w:val="es-MX"/>
        </w:rPr>
        <w:t xml:space="preserve">. </w:t>
      </w:r>
      <w:r>
        <w:rPr>
          <w:rStyle w:val="ui-provider"/>
          <w:lang w:val="es-MX"/>
        </w:rPr>
        <w:t>Series</w:t>
      </w:r>
      <w:r w:rsidRPr="00A43662">
        <w:rPr>
          <w:rStyle w:val="ui-provider"/>
          <w:lang w:val="es-MX"/>
        </w:rPr>
        <w:t xml:space="preserve"> elaboradas mediante métodos econométricos, 202</w:t>
      </w:r>
      <w:r>
        <w:rPr>
          <w:rStyle w:val="ui-provider"/>
          <w:lang w:val="es-MX"/>
        </w:rPr>
        <w:t>4</w:t>
      </w:r>
      <w:r w:rsidRPr="00A43662">
        <w:rPr>
          <w:rStyle w:val="ui-provider"/>
          <w:lang w:val="es-MX"/>
        </w:rPr>
        <w:t>.</w:t>
      </w:r>
    </w:p>
    <w:p w14:paraId="2A0A77C0" w14:textId="493DCBC6" w:rsidR="00970261" w:rsidRPr="004C6A26" w:rsidRDefault="00970261" w:rsidP="007A5DCF">
      <w:pPr>
        <w:pStyle w:val="Titcuadrograf"/>
        <w:spacing w:before="360"/>
        <w:ind w:left="0"/>
        <w:rPr>
          <w:b w:val="0"/>
          <w:smallCaps w:val="0"/>
          <w:sz w:val="20"/>
          <w:szCs w:val="20"/>
        </w:rPr>
      </w:pPr>
      <w:r w:rsidRPr="004C6A26">
        <w:rPr>
          <w:b w:val="0"/>
          <w:smallCaps w:val="0"/>
          <w:sz w:val="20"/>
          <w:szCs w:val="20"/>
        </w:rPr>
        <w:lastRenderedPageBreak/>
        <w:t xml:space="preserve">Gráfica </w:t>
      </w:r>
      <w:r>
        <w:rPr>
          <w:b w:val="0"/>
          <w:smallCaps w:val="0"/>
          <w:sz w:val="20"/>
          <w:szCs w:val="20"/>
        </w:rPr>
        <w:t>5</w:t>
      </w:r>
    </w:p>
    <w:p w14:paraId="6EA0C442" w14:textId="362EB336" w:rsidR="00970261" w:rsidRDefault="00187383" w:rsidP="00970261">
      <w:pPr>
        <w:pStyle w:val="Titcuadrograf"/>
        <w:ind w:left="0"/>
        <w:rPr>
          <w:sz w:val="22"/>
          <w:szCs w:val="22"/>
        </w:rPr>
      </w:pPr>
      <w:r w:rsidRPr="00117217">
        <w:rPr>
          <w:rFonts w:ascii="Arial Negrita" w:hAnsi="Arial Negrita"/>
          <w:sz w:val="22"/>
          <w:szCs w:val="22"/>
        </w:rPr>
        <w:t>ioae</w:t>
      </w:r>
      <w:r w:rsidRPr="00E15E72">
        <w:rPr>
          <w:sz w:val="22"/>
          <w:szCs w:val="22"/>
        </w:rPr>
        <w:t xml:space="preserve">: </w:t>
      </w:r>
      <w:proofErr w:type="spellStart"/>
      <w:r>
        <w:rPr>
          <w:i/>
          <w:sz w:val="22"/>
          <w:szCs w:val="22"/>
        </w:rPr>
        <w:t>n</w:t>
      </w:r>
      <w:r w:rsidRPr="0075037F">
        <w:rPr>
          <w:i/>
          <w:sz w:val="22"/>
          <w:szCs w:val="22"/>
        </w:rPr>
        <w:t>owcast</w:t>
      </w:r>
      <w:proofErr w:type="spellEnd"/>
      <w:r w:rsidRPr="00E15E72">
        <w:rPr>
          <w:sz w:val="22"/>
          <w:szCs w:val="22"/>
        </w:rPr>
        <w:t xml:space="preserve"> del igae</w:t>
      </w:r>
    </w:p>
    <w:p w14:paraId="28960B11" w14:textId="685C6258" w:rsidR="00970261" w:rsidRPr="00177AEC" w:rsidRDefault="00187383" w:rsidP="00970261">
      <w:pPr>
        <w:pStyle w:val="Titcuadrograf"/>
        <w:ind w:left="0"/>
        <w:rPr>
          <w:sz w:val="20"/>
          <w:szCs w:val="20"/>
        </w:rPr>
      </w:pPr>
      <w:r w:rsidRPr="00177AEC">
        <w:rPr>
          <w:sz w:val="20"/>
          <w:szCs w:val="20"/>
        </w:rPr>
        <w:t>modelos estimados con series desestacionalizadas</w:t>
      </w:r>
    </w:p>
    <w:p w14:paraId="7D3EF52A" w14:textId="261D4954" w:rsidR="00E72CC1" w:rsidRDefault="002C3968" w:rsidP="00E72CC1">
      <w:pPr>
        <w:jc w:val="center"/>
        <w:rPr>
          <w:sz w:val="18"/>
          <w:szCs w:val="18"/>
        </w:rPr>
      </w:pPr>
      <w:r w:rsidRPr="002C3968">
        <w:rPr>
          <w:sz w:val="18"/>
          <w:szCs w:val="18"/>
        </w:rPr>
        <w:t>(</w:t>
      </w:r>
      <w:r w:rsidR="00724BC0">
        <w:rPr>
          <w:sz w:val="18"/>
          <w:szCs w:val="18"/>
        </w:rPr>
        <w:t>í</w:t>
      </w:r>
      <w:r w:rsidRPr="002C3968">
        <w:rPr>
          <w:sz w:val="18"/>
          <w:szCs w:val="18"/>
        </w:rPr>
        <w:t>ndice base 201</w:t>
      </w:r>
      <w:r w:rsidR="00DD5597">
        <w:rPr>
          <w:sz w:val="18"/>
          <w:szCs w:val="18"/>
        </w:rPr>
        <w:t>8</w:t>
      </w:r>
      <w:r w:rsidRPr="002C3968">
        <w:rPr>
          <w:sz w:val="18"/>
          <w:szCs w:val="18"/>
        </w:rPr>
        <w:t>=100</w:t>
      </w:r>
      <w:r w:rsidR="00724BC0">
        <w:rPr>
          <w:sz w:val="18"/>
          <w:szCs w:val="18"/>
        </w:rPr>
        <w:t>:</w:t>
      </w:r>
      <w:r w:rsidR="00AE5266">
        <w:rPr>
          <w:sz w:val="18"/>
          <w:szCs w:val="18"/>
        </w:rPr>
        <w:t xml:space="preserve"> </w:t>
      </w:r>
      <w:r w:rsidR="00B23C9D">
        <w:rPr>
          <w:sz w:val="18"/>
          <w:szCs w:val="18"/>
        </w:rPr>
        <w:t>septiembre</w:t>
      </w:r>
      <w:r w:rsidR="00AE5266">
        <w:rPr>
          <w:sz w:val="18"/>
          <w:szCs w:val="18"/>
        </w:rPr>
        <w:t xml:space="preserve"> </w:t>
      </w:r>
      <w:r w:rsidR="00222644">
        <w:rPr>
          <w:sz w:val="18"/>
          <w:szCs w:val="18"/>
        </w:rPr>
        <w:t xml:space="preserve">y </w:t>
      </w:r>
      <w:r w:rsidR="00B23C9D">
        <w:rPr>
          <w:sz w:val="18"/>
          <w:szCs w:val="18"/>
        </w:rPr>
        <w:t>octubre</w:t>
      </w:r>
      <w:r w:rsidR="009C03FE">
        <w:rPr>
          <w:sz w:val="18"/>
          <w:szCs w:val="18"/>
        </w:rPr>
        <w:t xml:space="preserve"> </w:t>
      </w:r>
      <w:r w:rsidRPr="002C3968">
        <w:rPr>
          <w:sz w:val="18"/>
          <w:szCs w:val="18"/>
        </w:rPr>
        <w:t>de 202</w:t>
      </w:r>
      <w:r w:rsidR="009C1033">
        <w:rPr>
          <w:sz w:val="18"/>
          <w:szCs w:val="18"/>
        </w:rPr>
        <w:t>4</w:t>
      </w:r>
      <w:r w:rsidRPr="002C3968">
        <w:rPr>
          <w:sz w:val="18"/>
          <w:szCs w:val="18"/>
        </w:rPr>
        <w:t>)</w:t>
      </w:r>
    </w:p>
    <w:p w14:paraId="276013FB" w14:textId="427046AB" w:rsidR="00693229" w:rsidRDefault="00693229" w:rsidP="277D78A8">
      <w:pPr>
        <w:pStyle w:val="Titcuadrograf"/>
        <w:ind w:left="0"/>
        <w:rPr>
          <w:b w:val="0"/>
          <w:smallCaps w:val="0"/>
          <w:sz w:val="20"/>
          <w:szCs w:val="20"/>
        </w:rPr>
      </w:pPr>
      <w:r>
        <w:rPr>
          <w:noProof/>
        </w:rPr>
        <w:drawing>
          <wp:inline distT="0" distB="0" distL="0" distR="0" wp14:anchorId="6853F3CC" wp14:editId="0DC3F1AB">
            <wp:extent cx="5040000" cy="2520000"/>
            <wp:effectExtent l="0" t="0" r="8255" b="13970"/>
            <wp:docPr id="16652327" name="Gráfico 1">
              <a:extLst xmlns:a="http://schemas.openxmlformats.org/drawingml/2006/main">
                <a:ext uri="{FF2B5EF4-FFF2-40B4-BE49-F238E27FC236}">
                  <a16:creationId xmlns:a16="http://schemas.microsoft.com/office/drawing/2014/main" id="{D30978AD-3ADE-4327-9DA5-4D64924C08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2619DA7" w14:textId="77777777" w:rsidR="000B4629" w:rsidRPr="00D5238C" w:rsidRDefault="000B4629" w:rsidP="000B4629">
      <w:pPr>
        <w:pStyle w:val="pie"/>
        <w:spacing w:after="0"/>
        <w:ind w:left="1701" w:right="1185" w:hanging="567"/>
        <w:rPr>
          <w:lang w:val="es-MX"/>
        </w:rPr>
      </w:pPr>
      <w:r w:rsidRPr="00D5238C">
        <w:rPr>
          <w:lang w:val="es-MX"/>
        </w:rPr>
        <w:t>Fuente:</w:t>
      </w:r>
      <w:r>
        <w:rPr>
          <w:lang w:val="es-MX"/>
        </w:rPr>
        <w:tab/>
      </w:r>
      <w:r w:rsidRPr="00763FD0">
        <w:rPr>
          <w:smallCaps/>
          <w:lang w:val="es-MX"/>
        </w:rPr>
        <w:t>inegi</w:t>
      </w:r>
      <w:r>
        <w:rPr>
          <w:smallCaps/>
          <w:lang w:val="es-MX"/>
        </w:rPr>
        <w:t xml:space="preserve">. </w:t>
      </w:r>
      <w:r w:rsidRPr="000B4629">
        <w:rPr>
          <w:lang w:val="es-MX"/>
        </w:rPr>
        <w:t>Indicador Oportuno de la Actividad Económica</w:t>
      </w:r>
      <w:r w:rsidRPr="000B4629">
        <w:rPr>
          <w:smallCaps/>
          <w:lang w:val="es-MX"/>
        </w:rPr>
        <w:t xml:space="preserve"> (ioae)</w:t>
      </w:r>
      <w:r>
        <w:rPr>
          <w:lang w:val="es-MX"/>
        </w:rPr>
        <w:t xml:space="preserve">. </w:t>
      </w:r>
      <w:r>
        <w:rPr>
          <w:rStyle w:val="ui-provider"/>
          <w:lang w:val="es-MX"/>
        </w:rPr>
        <w:t>Series</w:t>
      </w:r>
      <w:r w:rsidRPr="00A43662">
        <w:rPr>
          <w:rStyle w:val="ui-provider"/>
          <w:lang w:val="es-MX"/>
        </w:rPr>
        <w:t xml:space="preserve"> elaboradas mediante métodos econométricos, 202</w:t>
      </w:r>
      <w:r>
        <w:rPr>
          <w:rStyle w:val="ui-provider"/>
          <w:lang w:val="es-MX"/>
        </w:rPr>
        <w:t>4</w:t>
      </w:r>
      <w:r w:rsidRPr="00A43662">
        <w:rPr>
          <w:rStyle w:val="ui-provider"/>
          <w:lang w:val="es-MX"/>
        </w:rPr>
        <w:t>.</w:t>
      </w:r>
    </w:p>
    <w:p w14:paraId="6D7A2BCD" w14:textId="093811E7" w:rsidR="00265514" w:rsidRPr="00D00123" w:rsidRDefault="00187383" w:rsidP="008B77D2">
      <w:pPr>
        <w:pStyle w:val="Subttulo"/>
        <w:spacing w:before="360"/>
        <w:ind w:right="-518"/>
        <w:jc w:val="both"/>
        <w:rPr>
          <w:rFonts w:ascii="Arial Negrita" w:hAnsi="Arial Negrita"/>
          <w:bCs w:val="0"/>
          <w:smallCaps/>
        </w:rPr>
      </w:pPr>
      <w:r>
        <w:rPr>
          <w:rFonts w:ascii="Arial Negrita" w:hAnsi="Arial Negrita"/>
          <w:bCs w:val="0"/>
          <w:smallCaps/>
        </w:rPr>
        <w:t>n</w:t>
      </w:r>
      <w:r w:rsidR="00265514" w:rsidRPr="00D00123">
        <w:rPr>
          <w:rFonts w:ascii="Arial Negrita" w:hAnsi="Arial Negrita"/>
          <w:bCs w:val="0"/>
          <w:smallCaps/>
        </w:rPr>
        <w:t>ota metodológica</w:t>
      </w:r>
    </w:p>
    <w:p w14:paraId="4F9A0E23" w14:textId="41E909D2" w:rsidR="002E690E" w:rsidRDefault="002E690E" w:rsidP="002E690E">
      <w:pPr>
        <w:spacing w:before="240"/>
      </w:pPr>
      <w:r>
        <w:t xml:space="preserve">El </w:t>
      </w:r>
      <w:r w:rsidR="00117217" w:rsidRPr="00117217">
        <w:rPr>
          <w:smallCaps/>
        </w:rPr>
        <w:t>ioae</w:t>
      </w:r>
      <w:r w:rsidR="00117217">
        <w:t xml:space="preserve"> </w:t>
      </w:r>
      <w:r>
        <w:t xml:space="preserve">se construye a partir de un modelo de </w:t>
      </w:r>
      <w:proofErr w:type="spellStart"/>
      <w:r>
        <w:rPr>
          <w:i/>
        </w:rPr>
        <w:t>nowcasting</w:t>
      </w:r>
      <w:proofErr w:type="spellEnd"/>
      <w:r>
        <w:t>. Este modelo econométrico parte de los logros previos del Instituto Nacional de Estadística y Geografía (</w:t>
      </w:r>
      <w:r w:rsidR="00117217" w:rsidRPr="00117217">
        <w:rPr>
          <w:smallCaps/>
        </w:rPr>
        <w:t>inegi</w:t>
      </w:r>
      <w:r>
        <w:t xml:space="preserve">) y los lleva un paso adelante para ofrecer estimaciones más oportunas de la evolución de un conjunto de indicadores macroeconómicos de interés. Los modelos de </w:t>
      </w:r>
      <w:proofErr w:type="spellStart"/>
      <w:r>
        <w:rPr>
          <w:i/>
          <w:iCs/>
        </w:rPr>
        <w:t>nowcasting</w:t>
      </w:r>
      <w:proofErr w:type="spellEnd"/>
      <w:r>
        <w:t xml:space="preserve"> se ubican en un lugar intermedio entre los modelos de ajuste —que suponen la disponibilidad contemporánea de la variable a estimar y de todas sus covariables— y los modelos de pronóstico —que hacen uso del pasado de las covariables y de la variable a estimar para predecir su futuro—.</w:t>
      </w:r>
    </w:p>
    <w:p w14:paraId="641D21F7" w14:textId="46EA8F3E" w:rsidR="002E690E" w:rsidRDefault="002E690E" w:rsidP="002E690E">
      <w:pPr>
        <w:spacing w:before="240"/>
        <w:rPr>
          <w:sz w:val="23"/>
          <w:szCs w:val="23"/>
        </w:rPr>
      </w:pPr>
      <w:r>
        <w:t xml:space="preserve">Con el </w:t>
      </w:r>
      <w:proofErr w:type="spellStart"/>
      <w:r>
        <w:rPr>
          <w:i/>
        </w:rPr>
        <w:t>nowcasting</w:t>
      </w:r>
      <w:proofErr w:type="spellEnd"/>
      <w:r>
        <w:rPr>
          <w:iCs/>
        </w:rPr>
        <w:t>,</w:t>
      </w:r>
      <w:r>
        <w:t xml:space="preserve"> se estima el valor de la variable de interés (por ejemplo, el </w:t>
      </w:r>
      <w:r w:rsidR="00117217" w:rsidRPr="00117217">
        <w:rPr>
          <w:smallCaps/>
        </w:rPr>
        <w:t>igae</w:t>
      </w:r>
      <w:r>
        <w:t>) a partir de la construcción de modelos econométricos subyacentes que sintetizan el comportamiento de las covariables relevantes en el mismo periodo. De esta forma, se obtienen estimaciones precisas que ayudan a adelantar las señales económicas que, tiempo después, reflejarán las cifras de los indicadores oficiales que se producen por los métodos tradicionales de las encuestas, los registros administrativos o las Cuentas Nacionales. Estas estimaciones se hacen a partir de un subconjunto de covariables relevantes contemporáneas a la variable de interés. En ningún momento se incurre en la estimación de pronósticos (que implicaría estimar la variable dependiente con referencia a periodos para los que no se cuenta con correlatos contemporáneos).</w:t>
      </w:r>
    </w:p>
    <w:p w14:paraId="4CACE4FC" w14:textId="0BF913DB" w:rsidR="002E690E" w:rsidRDefault="009353C2" w:rsidP="002E690E">
      <w:pPr>
        <w:spacing w:before="240"/>
      </w:pPr>
      <w:r>
        <w:t>L</w:t>
      </w:r>
      <w:r w:rsidR="002E690E">
        <w:t xml:space="preserve">os resultados del </w:t>
      </w:r>
      <w:proofErr w:type="spellStart"/>
      <w:r w:rsidR="002E690E">
        <w:rPr>
          <w:i/>
          <w:iCs/>
        </w:rPr>
        <w:t>nowcasting</w:t>
      </w:r>
      <w:proofErr w:type="spellEnd"/>
      <w:r w:rsidR="002E690E">
        <w:t xml:space="preserve"> no sustituyen de ninguna manera la información de las series oficiales que provienen de las Cuentas Nacionales o de las encuestas en establecimientos o en hogares del </w:t>
      </w:r>
      <w:r w:rsidR="00117217" w:rsidRPr="00117217">
        <w:rPr>
          <w:smallCaps/>
        </w:rPr>
        <w:t>inegi</w:t>
      </w:r>
      <w:r w:rsidR="002E690E">
        <w:t>. En cambio, sí son un trabajo complementario que usa los resultados de las series oficiales para ofrecer cifras cercanas a estas y más oportunas</w:t>
      </w:r>
      <w:r w:rsidR="0006715B">
        <w:t>,</w:t>
      </w:r>
      <w:r w:rsidR="002E690E">
        <w:t xml:space="preserve"> con base en la información relevante y disponible al momento de realizar dichas estimaciones.</w:t>
      </w:r>
    </w:p>
    <w:p w14:paraId="1FD972BD" w14:textId="3CF0FB15" w:rsidR="002E690E" w:rsidRPr="007C595B" w:rsidRDefault="002E690E" w:rsidP="002E690E">
      <w:pPr>
        <w:spacing w:before="240"/>
        <w:rPr>
          <w:lang w:val="es-MX"/>
        </w:rPr>
      </w:pPr>
      <w:r>
        <w:rPr>
          <w:lang w:val="es-MX"/>
        </w:rPr>
        <w:lastRenderedPageBreak/>
        <w:t xml:space="preserve">Los </w:t>
      </w:r>
      <w:r w:rsidRPr="007C595B">
        <w:rPr>
          <w:lang w:val="es-MX"/>
        </w:rPr>
        <w:t xml:space="preserve">resultados del </w:t>
      </w:r>
      <w:r w:rsidR="00117217" w:rsidRPr="007C595B">
        <w:rPr>
          <w:smallCaps/>
          <w:lang w:val="es-MX"/>
        </w:rPr>
        <w:t>ioae</w:t>
      </w:r>
      <w:r w:rsidR="00117217" w:rsidRPr="007C595B">
        <w:rPr>
          <w:lang w:val="es-MX"/>
        </w:rPr>
        <w:t xml:space="preserve"> </w:t>
      </w:r>
      <w:r w:rsidRPr="007C595B">
        <w:rPr>
          <w:lang w:val="es-MX"/>
        </w:rPr>
        <w:t xml:space="preserve">se presentan la tercera semana de cada mes y hacen referencia a la tasa de crecimiento anual de los indicadores en cuestión para el mes inmediato anterior y para el mes antepasado. Los resultados oficiales del </w:t>
      </w:r>
      <w:r w:rsidR="00117217" w:rsidRPr="007C595B">
        <w:rPr>
          <w:smallCaps/>
          <w:lang w:val="es-MX"/>
        </w:rPr>
        <w:t>igae</w:t>
      </w:r>
      <w:r w:rsidR="00117217" w:rsidRPr="007C595B">
        <w:rPr>
          <w:lang w:val="es-MX"/>
        </w:rPr>
        <w:t xml:space="preserve"> </w:t>
      </w:r>
      <w:r w:rsidRPr="007C595B">
        <w:rPr>
          <w:lang w:val="es-MX"/>
        </w:rPr>
        <w:t>y sus actividades económicas se dan a conocer</w:t>
      </w:r>
      <w:r w:rsidR="00AA7658">
        <w:rPr>
          <w:lang w:val="es-MX"/>
        </w:rPr>
        <w:t>,</w:t>
      </w:r>
      <w:r w:rsidRPr="007C595B">
        <w:rPr>
          <w:lang w:val="es-MX"/>
        </w:rPr>
        <w:t xml:space="preserve"> aproximadamente</w:t>
      </w:r>
      <w:r w:rsidR="00AA7658">
        <w:rPr>
          <w:lang w:val="es-MX"/>
        </w:rPr>
        <w:t>,</w:t>
      </w:r>
      <w:r w:rsidRPr="007C595B">
        <w:rPr>
          <w:lang w:val="es-MX"/>
        </w:rPr>
        <w:t xml:space="preserve"> </w:t>
      </w:r>
      <w:r w:rsidR="00C446B1">
        <w:rPr>
          <w:lang w:val="es-MX"/>
        </w:rPr>
        <w:t>ocho</w:t>
      </w:r>
      <w:r w:rsidR="00872D35">
        <w:rPr>
          <w:lang w:val="es-MX"/>
        </w:rPr>
        <w:t xml:space="preserve"> </w:t>
      </w:r>
      <w:r w:rsidRPr="007C595B">
        <w:rPr>
          <w:lang w:val="es-MX"/>
        </w:rPr>
        <w:t xml:space="preserve">semanas después de terminado el mes de referencia. El </w:t>
      </w:r>
      <w:r w:rsidR="00117217" w:rsidRPr="007C595B">
        <w:rPr>
          <w:smallCaps/>
          <w:lang w:val="es-MX"/>
        </w:rPr>
        <w:t>ioae</w:t>
      </w:r>
      <w:r w:rsidR="00117217" w:rsidRPr="007C595B">
        <w:rPr>
          <w:lang w:val="es-MX"/>
        </w:rPr>
        <w:t xml:space="preserve"> </w:t>
      </w:r>
      <w:r w:rsidRPr="007C595B">
        <w:rPr>
          <w:lang w:val="es-MX"/>
        </w:rPr>
        <w:t xml:space="preserve">está disponible una semana antes de que se reporten las cifras del </w:t>
      </w:r>
      <w:r w:rsidR="00117217" w:rsidRPr="007C595B">
        <w:rPr>
          <w:smallCaps/>
          <w:lang w:val="es-MX"/>
        </w:rPr>
        <w:t>igae</w:t>
      </w:r>
      <w:r w:rsidR="00117217" w:rsidRPr="007C595B">
        <w:rPr>
          <w:lang w:val="es-MX"/>
        </w:rPr>
        <w:t xml:space="preserve"> </w:t>
      </w:r>
      <w:r w:rsidRPr="007C595B">
        <w:rPr>
          <w:lang w:val="es-MX"/>
        </w:rPr>
        <w:t xml:space="preserve">del mes antepasado y </w:t>
      </w:r>
      <w:r w:rsidR="00C446B1">
        <w:rPr>
          <w:lang w:val="es-MX"/>
        </w:rPr>
        <w:t>cinco</w:t>
      </w:r>
      <w:r w:rsidR="00C64D0B">
        <w:rPr>
          <w:lang w:val="es-MX"/>
        </w:rPr>
        <w:t> </w:t>
      </w:r>
      <w:r w:rsidRPr="007C595B">
        <w:rPr>
          <w:lang w:val="es-MX"/>
        </w:rPr>
        <w:t>semanas antes de la publicación de las cifras oficiales del mes inmediato anterior.</w:t>
      </w:r>
    </w:p>
    <w:p w14:paraId="7413724E" w14:textId="4E06EAB5" w:rsidR="002E690E" w:rsidRPr="007C595B" w:rsidRDefault="002E690E" w:rsidP="00842D4D">
      <w:pPr>
        <w:spacing w:before="240"/>
      </w:pPr>
      <w:r w:rsidRPr="007C595B">
        <w:t xml:space="preserve">Para lograr el mejor ajuste del modelo en el margen (hacia el final de la serie), se incorporan variables de alta frecuencia y oportunidad. Algunas de estas provienen de fuentes no tradicionales, como reportes de búsquedas en internet (Google </w:t>
      </w:r>
      <w:proofErr w:type="spellStart"/>
      <w:r w:rsidRPr="007C595B">
        <w:t>Trends</w:t>
      </w:r>
      <w:proofErr w:type="spellEnd"/>
      <w:r w:rsidRPr="007C595B">
        <w:t xml:space="preserve">). La incorporación de este tipo de fuentes mejora la precisión de los resultados del modelo de </w:t>
      </w:r>
      <w:proofErr w:type="spellStart"/>
      <w:r w:rsidRPr="007C595B">
        <w:rPr>
          <w:i/>
          <w:iCs/>
        </w:rPr>
        <w:t>nowcasting</w:t>
      </w:r>
      <w:proofErr w:type="spellEnd"/>
      <w:r w:rsidRPr="007C595B">
        <w:rPr>
          <w:i/>
          <w:iCs/>
        </w:rPr>
        <w:t>,</w:t>
      </w:r>
      <w:r w:rsidRPr="007C595B">
        <w:t xml:space="preserve"> a pesar de posibles cambios abruptos en la actividad económica. </w:t>
      </w:r>
    </w:p>
    <w:p w14:paraId="29151CA3" w14:textId="6B5ACCD6" w:rsidR="002E690E" w:rsidRPr="007C595B" w:rsidRDefault="002E690E" w:rsidP="00842D4D">
      <w:pPr>
        <w:spacing w:before="240"/>
      </w:pPr>
      <w:r w:rsidRPr="007C595B">
        <w:t xml:space="preserve">El modelo de </w:t>
      </w:r>
      <w:proofErr w:type="spellStart"/>
      <w:r w:rsidRPr="007C595B">
        <w:rPr>
          <w:i/>
          <w:iCs/>
        </w:rPr>
        <w:t>nowcasting</w:t>
      </w:r>
      <w:proofErr w:type="spellEnd"/>
      <w:r w:rsidRPr="007C595B">
        <w:t xml:space="preserve">, que subyace al </w:t>
      </w:r>
      <w:r w:rsidR="00117217" w:rsidRPr="007C595B">
        <w:rPr>
          <w:smallCaps/>
          <w:lang w:val="es-MX"/>
        </w:rPr>
        <w:t>ioae</w:t>
      </w:r>
      <w:r w:rsidRPr="007C595B">
        <w:t xml:space="preserve">, se centra en construir un factor dinámico, oportuno y econométricamente válido a partir de la metodología de </w:t>
      </w:r>
      <w:proofErr w:type="spellStart"/>
      <w:r w:rsidRPr="007C595B">
        <w:t>Doz</w:t>
      </w:r>
      <w:proofErr w:type="spellEnd"/>
      <w:r w:rsidRPr="007C595B">
        <w:t xml:space="preserve"> </w:t>
      </w:r>
      <w:r w:rsidRPr="007C595B">
        <w:rPr>
          <w:i/>
          <w:iCs/>
        </w:rPr>
        <w:t>et al.</w:t>
      </w:r>
      <w:r w:rsidRPr="007C595B">
        <w:t xml:space="preserve"> (2011).</w:t>
      </w:r>
      <w:r w:rsidRPr="007C595B">
        <w:rPr>
          <w:rStyle w:val="Refdenotaalpie"/>
        </w:rPr>
        <w:footnoteReference w:id="4"/>
      </w:r>
      <w:r w:rsidRPr="007C595B">
        <w:t xml:space="preserve"> La estimación de un factor permite mantener su sentido estructural, de tal manera que las contribuciones</w:t>
      </w:r>
      <w:r w:rsidR="00B82E9F">
        <w:t>,</w:t>
      </w:r>
      <w:r w:rsidRPr="007C595B">
        <w:t xml:space="preserve"> o cargas asociadas de cada variable en el factor</w:t>
      </w:r>
      <w:r w:rsidR="00C16B21">
        <w:t>,</w:t>
      </w:r>
      <w:r w:rsidRPr="007C595B">
        <w:t xml:space="preserve"> se puedan interpretar desde una perspectiva económica. Desde el punto de vista estadístico, el modelo satisface los supuestos que garantizan la estimación consistente del factor.</w:t>
      </w:r>
      <w:r w:rsidRPr="007C595B">
        <w:rPr>
          <w:rStyle w:val="Refdenotaalpie"/>
        </w:rPr>
        <w:footnoteReference w:id="5"/>
      </w:r>
    </w:p>
    <w:p w14:paraId="29F86E43" w14:textId="5210E8A6" w:rsidR="002E690E" w:rsidRPr="007C595B" w:rsidRDefault="002E690E" w:rsidP="002E690E">
      <w:pPr>
        <w:spacing w:before="360" w:after="60"/>
      </w:pPr>
      <w:r w:rsidRPr="007C595B">
        <w:t xml:space="preserve">El </w:t>
      </w:r>
      <w:r w:rsidR="00117217" w:rsidRPr="007C595B">
        <w:rPr>
          <w:smallCaps/>
          <w:lang w:val="es-MX"/>
        </w:rPr>
        <w:t>ioae</w:t>
      </w:r>
      <w:r w:rsidRPr="007C595B">
        <w:t>:</w:t>
      </w:r>
    </w:p>
    <w:p w14:paraId="3AAABA09" w14:textId="3F2C957A" w:rsidR="002E690E" w:rsidRPr="007C595B" w:rsidRDefault="002E690E" w:rsidP="002E690E">
      <w:pPr>
        <w:pStyle w:val="Prrafodelista"/>
        <w:numPr>
          <w:ilvl w:val="0"/>
          <w:numId w:val="28"/>
        </w:numPr>
        <w:spacing w:after="80"/>
        <w:ind w:left="714" w:hanging="357"/>
      </w:pPr>
      <w:r w:rsidRPr="007C595B">
        <w:t xml:space="preserve">Estima los dos meses posteriores al cierre del último dato publicado oficialmente para el </w:t>
      </w:r>
      <w:r w:rsidR="00117217" w:rsidRPr="007C595B">
        <w:rPr>
          <w:smallCaps/>
          <w:lang w:val="es-MX"/>
        </w:rPr>
        <w:t>igae</w:t>
      </w:r>
      <w:r w:rsidRPr="007C595B">
        <w:t>, así como las actividades económicas secundarias y terciarias.</w:t>
      </w:r>
    </w:p>
    <w:p w14:paraId="42AFBFDD" w14:textId="5351A43B" w:rsidR="002E690E" w:rsidRPr="007C595B" w:rsidRDefault="002E690E" w:rsidP="002E690E">
      <w:pPr>
        <w:pStyle w:val="Prrafodelista"/>
        <w:numPr>
          <w:ilvl w:val="0"/>
          <w:numId w:val="28"/>
        </w:numPr>
        <w:spacing w:after="80"/>
        <w:ind w:left="714" w:hanging="357"/>
      </w:pPr>
      <w:r w:rsidRPr="007C595B">
        <w:t>Selecciona variables explicativas económicas y financieras con el criterio de oportunidad y alta correlación respecto a la variable a estimar.</w:t>
      </w:r>
    </w:p>
    <w:p w14:paraId="6B605DE5" w14:textId="5E8EFF7B" w:rsidR="002E690E" w:rsidRPr="007C595B" w:rsidRDefault="002E690E" w:rsidP="002E690E">
      <w:pPr>
        <w:pStyle w:val="Prrafodelista"/>
        <w:numPr>
          <w:ilvl w:val="0"/>
          <w:numId w:val="28"/>
        </w:numPr>
        <w:spacing w:after="80"/>
        <w:ind w:left="714" w:hanging="357"/>
      </w:pPr>
      <w:r w:rsidRPr="007C595B">
        <w:t xml:space="preserve">Incorpora fuentes no tradicionales de información y de alta frecuencia, como Google </w:t>
      </w:r>
      <w:proofErr w:type="spellStart"/>
      <w:r w:rsidRPr="007C595B">
        <w:t>Trends</w:t>
      </w:r>
      <w:proofErr w:type="spellEnd"/>
      <w:r w:rsidRPr="007C595B">
        <w:t>.</w:t>
      </w:r>
      <w:r w:rsidRPr="007C595B">
        <w:rPr>
          <w:rStyle w:val="Refdenotaalpie"/>
        </w:rPr>
        <w:footnoteReference w:id="6"/>
      </w:r>
    </w:p>
    <w:p w14:paraId="6AFF0782" w14:textId="77777777" w:rsidR="002E690E" w:rsidRPr="007C595B" w:rsidRDefault="002E690E" w:rsidP="002E690E">
      <w:pPr>
        <w:pStyle w:val="Prrafodelista"/>
        <w:numPr>
          <w:ilvl w:val="0"/>
          <w:numId w:val="28"/>
        </w:numPr>
        <w:spacing w:after="80"/>
        <w:ind w:left="714" w:hanging="357"/>
      </w:pPr>
      <w:r w:rsidRPr="007C595B">
        <w:t xml:space="preserve">Selecciona tópicos relevantes de Google </w:t>
      </w:r>
      <w:proofErr w:type="spellStart"/>
      <w:r w:rsidRPr="007C595B">
        <w:t>Trends</w:t>
      </w:r>
      <w:proofErr w:type="spellEnd"/>
      <w:r w:rsidRPr="007C595B">
        <w:t xml:space="preserve"> mediante Mínimos Cuadrados Parciales o regresión con validación cruzada para series de tiempo.</w:t>
      </w:r>
    </w:p>
    <w:p w14:paraId="54D00707" w14:textId="77777777" w:rsidR="002E690E" w:rsidRPr="007C595B" w:rsidRDefault="002E690E" w:rsidP="002E690E">
      <w:pPr>
        <w:pStyle w:val="Prrafodelista"/>
        <w:numPr>
          <w:ilvl w:val="0"/>
          <w:numId w:val="28"/>
        </w:numPr>
        <w:spacing w:after="80"/>
        <w:ind w:left="714" w:hanging="357"/>
      </w:pPr>
      <w:r w:rsidRPr="007C595B">
        <w:t>Selecciona modelos considerando errores fuera de muestra, uno y dos pasos adelante.</w:t>
      </w:r>
    </w:p>
    <w:p w14:paraId="4BAA7AAC" w14:textId="77777777" w:rsidR="002E690E" w:rsidRPr="007C595B" w:rsidRDefault="002E690E" w:rsidP="002E690E">
      <w:pPr>
        <w:pStyle w:val="Prrafodelista"/>
        <w:numPr>
          <w:ilvl w:val="0"/>
          <w:numId w:val="28"/>
        </w:numPr>
        <w:spacing w:after="80"/>
        <w:ind w:left="714" w:hanging="357"/>
      </w:pPr>
      <w:r w:rsidRPr="007C595B">
        <w:t>Transforma variables que maximizan la correlación con la variable a estimar.</w:t>
      </w:r>
    </w:p>
    <w:p w14:paraId="6630FE3C" w14:textId="77777777" w:rsidR="002E690E" w:rsidRPr="007C595B" w:rsidRDefault="002E690E" w:rsidP="002E690E">
      <w:pPr>
        <w:pStyle w:val="Prrafodelista"/>
        <w:numPr>
          <w:ilvl w:val="0"/>
          <w:numId w:val="28"/>
        </w:numPr>
        <w:spacing w:after="80"/>
        <w:ind w:left="714" w:hanging="357"/>
      </w:pPr>
      <w:r w:rsidRPr="007C595B">
        <w:t>Valida estadísticamente el número de factores.</w:t>
      </w:r>
    </w:p>
    <w:p w14:paraId="00963744" w14:textId="77777777" w:rsidR="002E690E" w:rsidRPr="007C595B" w:rsidRDefault="002E690E" w:rsidP="002E690E">
      <w:pPr>
        <w:pStyle w:val="Prrafodelista"/>
        <w:numPr>
          <w:ilvl w:val="0"/>
          <w:numId w:val="28"/>
        </w:numPr>
        <w:spacing w:after="80"/>
        <w:ind w:left="714" w:hanging="357"/>
      </w:pPr>
      <w:r w:rsidRPr="007C595B">
        <w:t>Prueba la estacionariedad de los errores idiosincráticos que validan la estimación consistente de los factores y de las cargas asociadas.</w:t>
      </w:r>
    </w:p>
    <w:p w14:paraId="1DD2DBA9" w14:textId="77777777" w:rsidR="002E690E" w:rsidRPr="007C595B" w:rsidRDefault="002E690E" w:rsidP="002E690E">
      <w:pPr>
        <w:pStyle w:val="Prrafodelista"/>
        <w:numPr>
          <w:ilvl w:val="0"/>
          <w:numId w:val="28"/>
        </w:numPr>
        <w:spacing w:after="80"/>
        <w:ind w:left="714" w:hanging="357"/>
      </w:pPr>
      <w:r>
        <w:lastRenderedPageBreak/>
        <w:t xml:space="preserve">Combina </w:t>
      </w:r>
      <w:proofErr w:type="spellStart"/>
      <w:r>
        <w:rPr>
          <w:i/>
          <w:iCs/>
        </w:rPr>
        <w:t>nowcasts</w:t>
      </w:r>
      <w:proofErr w:type="spellEnd"/>
      <w:r>
        <w:t xml:space="preserve"> para modelos con error de </w:t>
      </w:r>
      <w:r w:rsidRPr="007C595B">
        <w:t xml:space="preserve">estimación en datos de prueba estadísticamente igual (Prueba </w:t>
      </w:r>
      <w:bookmarkStart w:id="8" w:name="_Hlk56534249"/>
      <w:proofErr w:type="spellStart"/>
      <w:r w:rsidRPr="007C595B">
        <w:t>Diebold</w:t>
      </w:r>
      <w:proofErr w:type="spellEnd"/>
      <w:r w:rsidRPr="007C595B">
        <w:t>-Mariano</w:t>
      </w:r>
      <w:bookmarkEnd w:id="8"/>
      <w:r w:rsidRPr="007C595B">
        <w:t>).</w:t>
      </w:r>
      <w:r w:rsidRPr="007C595B">
        <w:rPr>
          <w:rStyle w:val="Refdenotaalpie"/>
        </w:rPr>
        <w:footnoteReference w:id="7"/>
      </w:r>
    </w:p>
    <w:p w14:paraId="3D419F76" w14:textId="6006A550" w:rsidR="002E690E" w:rsidRPr="007C595B" w:rsidRDefault="002E690E" w:rsidP="002E690E">
      <w:pPr>
        <w:pStyle w:val="Prrafodelista"/>
        <w:numPr>
          <w:ilvl w:val="0"/>
          <w:numId w:val="28"/>
        </w:numPr>
        <w:spacing w:after="80"/>
        <w:ind w:left="714" w:hanging="357"/>
      </w:pPr>
      <w:r w:rsidRPr="007C595B">
        <w:t>Estima intervalos de confianza a 95</w:t>
      </w:r>
      <w:r w:rsidR="00AD2948">
        <w:t>.0</w:t>
      </w:r>
      <w:r w:rsidRPr="007C595B">
        <w:t xml:space="preserve"> %: factores, cargas de variables y </w:t>
      </w:r>
      <w:proofErr w:type="spellStart"/>
      <w:r w:rsidRPr="007C595B">
        <w:rPr>
          <w:i/>
          <w:iCs/>
        </w:rPr>
        <w:t>nowcasts</w:t>
      </w:r>
      <w:proofErr w:type="spellEnd"/>
      <w:r w:rsidRPr="007C595B">
        <w:t>.</w:t>
      </w:r>
      <w:r w:rsidRPr="007C595B">
        <w:rPr>
          <w:rStyle w:val="Refdenotaalpie"/>
        </w:rPr>
        <w:footnoteReference w:id="8"/>
      </w:r>
    </w:p>
    <w:p w14:paraId="198F58A2" w14:textId="5A324113" w:rsidR="002E690E" w:rsidRPr="007C595B" w:rsidRDefault="002E690E" w:rsidP="002E690E">
      <w:pPr>
        <w:pStyle w:val="Prrafodelista"/>
        <w:numPr>
          <w:ilvl w:val="0"/>
          <w:numId w:val="28"/>
        </w:numPr>
        <w:spacing w:after="80"/>
        <w:ind w:left="714" w:hanging="357"/>
      </w:pPr>
      <w:r w:rsidRPr="007C595B">
        <w:t>Estima los pesos de las variables con el método Monte Carlo</w:t>
      </w:r>
      <w:r w:rsidR="007461AF">
        <w:t>,</w:t>
      </w:r>
      <w:r w:rsidRPr="007C595B">
        <w:t xml:space="preserve"> una vez suavizado el factor mediante el filtro de Kalman.</w:t>
      </w:r>
    </w:p>
    <w:p w14:paraId="2B480A15" w14:textId="33D6ED26" w:rsidR="002E690E" w:rsidRPr="007C595B" w:rsidRDefault="002E690E" w:rsidP="002E690E">
      <w:pPr>
        <w:keepLines/>
        <w:spacing w:before="240"/>
      </w:pPr>
      <w:r w:rsidRPr="007C595B">
        <w:t xml:space="preserve">Las variables utilizadas en el </w:t>
      </w:r>
      <w:r w:rsidR="00117217" w:rsidRPr="007C595B">
        <w:rPr>
          <w:smallCaps/>
          <w:lang w:val="es-MX"/>
        </w:rPr>
        <w:t>ioae</w:t>
      </w:r>
      <w:r w:rsidR="00117217" w:rsidRPr="007C595B">
        <w:t xml:space="preserve"> </w:t>
      </w:r>
      <w:r w:rsidRPr="007C595B">
        <w:t xml:space="preserve">se seleccionan con el criterio de oportunidad y correlación: se actualizan antes que la variable a estimar y se correlaciona con esta última. También se busca que modelos previos en la literatura hayan utilizado o considerado estas variables para el caso de México. </w:t>
      </w:r>
    </w:p>
    <w:p w14:paraId="05B78932" w14:textId="18FECFB4" w:rsidR="002E690E" w:rsidRPr="007C595B" w:rsidRDefault="002E690E" w:rsidP="002E690E">
      <w:pPr>
        <w:spacing w:before="240"/>
      </w:pPr>
      <w:r w:rsidRPr="007C595B">
        <w:t>Todas las variables son de libre acceso y se introducen desestacionalizadas al modelo. Se pueden obtener directamente de la fuente o desestacionalizándolas con el paquete X</w:t>
      </w:r>
      <w:r w:rsidR="00851DA5" w:rsidRPr="007C595B">
        <w:noBreakHyphen/>
      </w:r>
      <w:r w:rsidRPr="007C595B">
        <w:t>13ARIMA</w:t>
      </w:r>
      <w:r w:rsidR="00851DA5" w:rsidRPr="007C595B">
        <w:noBreakHyphen/>
      </w:r>
      <w:r w:rsidRPr="007C595B">
        <w:t>SEATS. Las variables utilizadas se describen en la tabla 1.</w:t>
      </w:r>
      <w:r w:rsidRPr="007C595B">
        <w:rPr>
          <w:rStyle w:val="Refdenotaalpie"/>
        </w:rPr>
        <w:footnoteReference w:id="9"/>
      </w:r>
    </w:p>
    <w:p w14:paraId="6D16F42A" w14:textId="77777777" w:rsidR="002E690E" w:rsidRDefault="002E690E" w:rsidP="002E690E">
      <w:pPr>
        <w:pStyle w:val="Sinespaciado"/>
        <w:spacing w:before="240"/>
        <w:jc w:val="center"/>
        <w:rPr>
          <w:rFonts w:ascii="Arial" w:hAnsi="Arial" w:cs="Arial"/>
          <w:sz w:val="20"/>
          <w:szCs w:val="20"/>
        </w:rPr>
      </w:pPr>
      <w:r>
        <w:rPr>
          <w:rFonts w:ascii="Arial" w:hAnsi="Arial" w:cs="Arial"/>
          <w:sz w:val="20"/>
          <w:szCs w:val="20"/>
        </w:rPr>
        <w:t>Tabla 1</w:t>
      </w:r>
    </w:p>
    <w:p w14:paraId="24A1E785" w14:textId="52550B95" w:rsidR="002E690E" w:rsidRPr="00EA391D" w:rsidRDefault="00872D35" w:rsidP="002E690E">
      <w:pPr>
        <w:jc w:val="center"/>
        <w:rPr>
          <w:smallCaps/>
        </w:rPr>
      </w:pPr>
      <w:r>
        <w:rPr>
          <w:rStyle w:val="Textoennegrita"/>
          <w:smallCaps/>
          <w:sz w:val="22"/>
          <w:szCs w:val="22"/>
        </w:rPr>
        <w:t>v</w:t>
      </w:r>
      <w:r w:rsidR="002E690E" w:rsidRPr="00EA391D">
        <w:rPr>
          <w:rStyle w:val="Textoennegrita"/>
          <w:smallCaps/>
          <w:sz w:val="22"/>
          <w:szCs w:val="22"/>
        </w:rPr>
        <w:t xml:space="preserve">ariables utilizadas en el </w:t>
      </w:r>
      <w:r w:rsidR="00117217" w:rsidRPr="00117217">
        <w:rPr>
          <w:rStyle w:val="Textoennegrita"/>
          <w:rFonts w:ascii="Arial Negrita" w:hAnsi="Arial Negrita"/>
          <w:smallCaps/>
          <w:sz w:val="22"/>
          <w:szCs w:val="22"/>
        </w:rPr>
        <w:t>ioae</w:t>
      </w:r>
    </w:p>
    <w:tbl>
      <w:tblPr>
        <w:tblW w:w="9180" w:type="dxa"/>
        <w:jc w:val="center"/>
        <w:tblCellMar>
          <w:left w:w="70" w:type="dxa"/>
          <w:right w:w="70" w:type="dxa"/>
        </w:tblCellMar>
        <w:tblLook w:val="04A0" w:firstRow="1" w:lastRow="0" w:firstColumn="1" w:lastColumn="0" w:noHBand="0" w:noVBand="1"/>
      </w:tblPr>
      <w:tblGrid>
        <w:gridCol w:w="2840"/>
        <w:gridCol w:w="3380"/>
        <w:gridCol w:w="2960"/>
      </w:tblGrid>
      <w:tr w:rsidR="002E690E" w14:paraId="2E546B33" w14:textId="77777777" w:rsidTr="001A4594">
        <w:trPr>
          <w:trHeight w:val="300"/>
          <w:tblHeader/>
          <w:jc w:val="center"/>
        </w:trPr>
        <w:tc>
          <w:tcPr>
            <w:tcW w:w="2840" w:type="dxa"/>
            <w:tcBorders>
              <w:top w:val="single" w:sz="4" w:space="0" w:color="auto"/>
              <w:left w:val="single" w:sz="4" w:space="0" w:color="auto"/>
              <w:bottom w:val="single" w:sz="4" w:space="0" w:color="auto"/>
              <w:right w:val="single" w:sz="4" w:space="0" w:color="auto"/>
            </w:tcBorders>
            <w:shd w:val="clear" w:color="auto" w:fill="D7E3BC"/>
            <w:vAlign w:val="center"/>
            <w:hideMark/>
          </w:tcPr>
          <w:p w14:paraId="723BA152" w14:textId="77777777" w:rsidR="002E690E" w:rsidRDefault="002E690E">
            <w:pPr>
              <w:jc w:val="center"/>
              <w:rPr>
                <w:b/>
                <w:bCs/>
                <w:color w:val="000000"/>
                <w:sz w:val="16"/>
                <w:szCs w:val="16"/>
                <w:lang w:val="es-MX" w:eastAsia="es-MX"/>
              </w:rPr>
            </w:pPr>
            <w:r>
              <w:rPr>
                <w:b/>
                <w:bCs/>
                <w:color w:val="000000"/>
                <w:sz w:val="16"/>
                <w:szCs w:val="16"/>
                <w:lang w:val="es-MX" w:eastAsia="es-MX"/>
              </w:rPr>
              <w:t>Variable</w:t>
            </w:r>
          </w:p>
        </w:tc>
        <w:tc>
          <w:tcPr>
            <w:tcW w:w="3380" w:type="dxa"/>
            <w:tcBorders>
              <w:top w:val="single" w:sz="4" w:space="0" w:color="auto"/>
              <w:left w:val="single" w:sz="4" w:space="0" w:color="auto"/>
              <w:bottom w:val="single" w:sz="4" w:space="0" w:color="auto"/>
              <w:right w:val="single" w:sz="4" w:space="0" w:color="auto"/>
            </w:tcBorders>
            <w:shd w:val="clear" w:color="auto" w:fill="D7E3BC"/>
            <w:vAlign w:val="center"/>
            <w:hideMark/>
          </w:tcPr>
          <w:p w14:paraId="74A8B5FB" w14:textId="77777777" w:rsidR="002E690E" w:rsidRDefault="002E690E">
            <w:pPr>
              <w:jc w:val="center"/>
              <w:rPr>
                <w:b/>
                <w:bCs/>
                <w:color w:val="000000"/>
                <w:sz w:val="16"/>
                <w:szCs w:val="16"/>
                <w:lang w:val="es-MX" w:eastAsia="es-MX"/>
              </w:rPr>
            </w:pPr>
            <w:r>
              <w:rPr>
                <w:b/>
                <w:bCs/>
                <w:color w:val="000000"/>
                <w:sz w:val="16"/>
                <w:szCs w:val="16"/>
                <w:lang w:val="es-MX" w:eastAsia="es-MX"/>
              </w:rPr>
              <w:t>Descripción</w:t>
            </w:r>
          </w:p>
        </w:tc>
        <w:tc>
          <w:tcPr>
            <w:tcW w:w="2960" w:type="dxa"/>
            <w:tcBorders>
              <w:top w:val="single" w:sz="4" w:space="0" w:color="auto"/>
              <w:left w:val="single" w:sz="4" w:space="0" w:color="auto"/>
              <w:bottom w:val="single" w:sz="4" w:space="0" w:color="auto"/>
              <w:right w:val="single" w:sz="4" w:space="0" w:color="auto"/>
            </w:tcBorders>
            <w:shd w:val="clear" w:color="auto" w:fill="D7E3BC"/>
            <w:vAlign w:val="center"/>
            <w:hideMark/>
          </w:tcPr>
          <w:p w14:paraId="075A4D4E" w14:textId="77777777" w:rsidR="002E690E" w:rsidRDefault="002E690E">
            <w:pPr>
              <w:jc w:val="center"/>
              <w:rPr>
                <w:b/>
                <w:bCs/>
                <w:color w:val="000000"/>
                <w:sz w:val="16"/>
                <w:szCs w:val="16"/>
                <w:lang w:val="es-MX" w:eastAsia="es-MX"/>
              </w:rPr>
            </w:pPr>
            <w:r>
              <w:rPr>
                <w:b/>
                <w:bCs/>
                <w:color w:val="000000"/>
                <w:sz w:val="16"/>
                <w:szCs w:val="16"/>
                <w:lang w:val="es-MX" w:eastAsia="es-MX"/>
              </w:rPr>
              <w:t>Fuente</w:t>
            </w:r>
          </w:p>
        </w:tc>
      </w:tr>
      <w:tr w:rsidR="002E690E" w14:paraId="5F302B3B" w14:textId="77777777" w:rsidTr="001A4594">
        <w:trPr>
          <w:trHeight w:val="288"/>
          <w:jc w:val="center"/>
        </w:trPr>
        <w:tc>
          <w:tcPr>
            <w:tcW w:w="2840" w:type="dxa"/>
            <w:tcBorders>
              <w:top w:val="single" w:sz="4" w:space="0" w:color="auto"/>
              <w:left w:val="single" w:sz="2" w:space="0" w:color="auto"/>
              <w:bottom w:val="nil"/>
              <w:right w:val="single" w:sz="2" w:space="0" w:color="auto"/>
            </w:tcBorders>
            <w:vAlign w:val="center"/>
            <w:hideMark/>
          </w:tcPr>
          <w:p w14:paraId="77A15067" w14:textId="5B4CF1A0" w:rsidR="002E690E" w:rsidRPr="00EB4C46" w:rsidRDefault="00A365CE">
            <w:pPr>
              <w:jc w:val="left"/>
              <w:rPr>
                <w:smallCaps/>
                <w:color w:val="000000"/>
                <w:sz w:val="16"/>
                <w:szCs w:val="16"/>
                <w:lang w:val="es-MX" w:eastAsia="es-MX"/>
              </w:rPr>
            </w:pPr>
            <w:proofErr w:type="spellStart"/>
            <w:r w:rsidRPr="00EB4C46">
              <w:rPr>
                <w:smallCaps/>
                <w:color w:val="000000"/>
                <w:sz w:val="16"/>
                <w:szCs w:val="16"/>
                <w:lang w:val="es-MX" w:eastAsia="es-MX"/>
              </w:rPr>
              <w:t>antad</w:t>
            </w:r>
            <w:proofErr w:type="spellEnd"/>
          </w:p>
        </w:tc>
        <w:tc>
          <w:tcPr>
            <w:tcW w:w="3380" w:type="dxa"/>
            <w:tcBorders>
              <w:top w:val="single" w:sz="4" w:space="0" w:color="auto"/>
              <w:left w:val="single" w:sz="2" w:space="0" w:color="auto"/>
              <w:bottom w:val="nil"/>
              <w:right w:val="single" w:sz="2" w:space="0" w:color="auto"/>
            </w:tcBorders>
            <w:vAlign w:val="center"/>
            <w:hideMark/>
          </w:tcPr>
          <w:p w14:paraId="02966733" w14:textId="77777777" w:rsidR="002E690E" w:rsidRDefault="002E690E">
            <w:pPr>
              <w:jc w:val="left"/>
              <w:rPr>
                <w:color w:val="000000"/>
                <w:sz w:val="16"/>
                <w:szCs w:val="16"/>
                <w:lang w:val="es-MX" w:eastAsia="es-MX"/>
              </w:rPr>
            </w:pPr>
            <w:r>
              <w:rPr>
                <w:color w:val="000000"/>
                <w:sz w:val="16"/>
                <w:szCs w:val="16"/>
                <w:lang w:val="es-MX" w:eastAsia="es-MX"/>
              </w:rPr>
              <w:t>Ventas totales</w:t>
            </w:r>
          </w:p>
        </w:tc>
        <w:tc>
          <w:tcPr>
            <w:tcW w:w="2960" w:type="dxa"/>
            <w:tcBorders>
              <w:top w:val="single" w:sz="4" w:space="0" w:color="auto"/>
              <w:left w:val="single" w:sz="2" w:space="0" w:color="auto"/>
              <w:bottom w:val="nil"/>
              <w:right w:val="single" w:sz="2" w:space="0" w:color="auto"/>
            </w:tcBorders>
            <w:vAlign w:val="center"/>
            <w:hideMark/>
          </w:tcPr>
          <w:p w14:paraId="5F01B2AB" w14:textId="4B2655EE" w:rsidR="002E690E" w:rsidRDefault="001A4594">
            <w:pPr>
              <w:jc w:val="left"/>
              <w:rPr>
                <w:color w:val="000000"/>
                <w:sz w:val="16"/>
                <w:szCs w:val="16"/>
                <w:lang w:val="es-MX" w:eastAsia="es-MX"/>
              </w:rPr>
            </w:pPr>
            <w:r w:rsidRPr="001A4594">
              <w:rPr>
                <w:color w:val="000000"/>
                <w:sz w:val="16"/>
                <w:szCs w:val="16"/>
                <w:lang w:val="es-MX" w:eastAsia="es-MX"/>
              </w:rPr>
              <w:t>Asociación Nacional de Tiendas de Autoservicio y Departamentales</w:t>
            </w:r>
          </w:p>
        </w:tc>
      </w:tr>
      <w:tr w:rsidR="002E690E" w14:paraId="364F6D94" w14:textId="77777777" w:rsidTr="00B56A08">
        <w:trPr>
          <w:trHeight w:val="408"/>
          <w:jc w:val="center"/>
        </w:trPr>
        <w:tc>
          <w:tcPr>
            <w:tcW w:w="2840" w:type="dxa"/>
            <w:tcBorders>
              <w:top w:val="nil"/>
              <w:left w:val="single" w:sz="2" w:space="0" w:color="auto"/>
              <w:bottom w:val="nil"/>
              <w:right w:val="single" w:sz="2" w:space="0" w:color="auto"/>
            </w:tcBorders>
            <w:vAlign w:val="center"/>
            <w:hideMark/>
          </w:tcPr>
          <w:p w14:paraId="55F7507F" w14:textId="3D263F4A" w:rsidR="002E690E" w:rsidRPr="00EB4C46" w:rsidRDefault="00A365CE">
            <w:pPr>
              <w:jc w:val="left"/>
              <w:rPr>
                <w:smallCaps/>
                <w:color w:val="000000"/>
                <w:sz w:val="16"/>
                <w:szCs w:val="16"/>
                <w:lang w:val="es-MX" w:eastAsia="es-MX"/>
              </w:rPr>
            </w:pPr>
            <w:proofErr w:type="spellStart"/>
            <w:r w:rsidRPr="00EB4C46">
              <w:rPr>
                <w:smallCaps/>
                <w:color w:val="000000"/>
                <w:sz w:val="16"/>
                <w:szCs w:val="16"/>
                <w:lang w:val="es-MX" w:eastAsia="es-MX"/>
              </w:rPr>
              <w:t>bmv</w:t>
            </w:r>
            <w:proofErr w:type="spellEnd"/>
          </w:p>
        </w:tc>
        <w:tc>
          <w:tcPr>
            <w:tcW w:w="3380" w:type="dxa"/>
            <w:tcBorders>
              <w:top w:val="nil"/>
              <w:left w:val="single" w:sz="2" w:space="0" w:color="auto"/>
              <w:bottom w:val="nil"/>
              <w:right w:val="single" w:sz="2" w:space="0" w:color="auto"/>
            </w:tcBorders>
            <w:vAlign w:val="center"/>
            <w:hideMark/>
          </w:tcPr>
          <w:p w14:paraId="0BD7FEB8" w14:textId="77777777" w:rsidR="002E690E" w:rsidRDefault="002E690E">
            <w:pPr>
              <w:jc w:val="left"/>
              <w:rPr>
                <w:color w:val="000000"/>
                <w:sz w:val="16"/>
                <w:szCs w:val="16"/>
                <w:lang w:val="es-MX" w:eastAsia="es-MX"/>
              </w:rPr>
            </w:pPr>
            <w:r>
              <w:rPr>
                <w:color w:val="000000"/>
                <w:sz w:val="16"/>
                <w:szCs w:val="16"/>
                <w:lang w:val="es-MX" w:eastAsia="es-MX"/>
              </w:rPr>
              <w:t>Índice de precios y cotizaciones de la Bolsa Mexicana de Valores</w:t>
            </w:r>
          </w:p>
        </w:tc>
        <w:tc>
          <w:tcPr>
            <w:tcW w:w="2960" w:type="dxa"/>
            <w:tcBorders>
              <w:top w:val="nil"/>
              <w:left w:val="single" w:sz="2" w:space="0" w:color="auto"/>
              <w:bottom w:val="nil"/>
              <w:right w:val="single" w:sz="2" w:space="0" w:color="auto"/>
            </w:tcBorders>
            <w:vAlign w:val="center"/>
            <w:hideMark/>
          </w:tcPr>
          <w:p w14:paraId="78537F81" w14:textId="7214BA3F" w:rsidR="002E690E" w:rsidRDefault="002E690E">
            <w:pPr>
              <w:jc w:val="left"/>
              <w:rPr>
                <w:color w:val="000000"/>
                <w:sz w:val="16"/>
                <w:szCs w:val="16"/>
                <w:lang w:val="es-MX" w:eastAsia="es-MX"/>
              </w:rPr>
            </w:pPr>
            <w:r>
              <w:rPr>
                <w:color w:val="000000"/>
                <w:sz w:val="16"/>
                <w:szCs w:val="16"/>
                <w:lang w:val="es-MX" w:eastAsia="es-MX"/>
              </w:rPr>
              <w:t>Banco de México</w:t>
            </w:r>
            <w:r w:rsidR="001A4594">
              <w:rPr>
                <w:color w:val="000000"/>
                <w:sz w:val="16"/>
                <w:szCs w:val="16"/>
                <w:lang w:val="es-MX" w:eastAsia="es-MX"/>
              </w:rPr>
              <w:t xml:space="preserve"> (</w:t>
            </w:r>
            <w:r w:rsidR="001A4594" w:rsidRPr="001A4594">
              <w:rPr>
                <w:smallCaps/>
                <w:color w:val="000000"/>
                <w:sz w:val="16"/>
                <w:szCs w:val="16"/>
                <w:lang w:val="es-MX" w:eastAsia="es-MX"/>
              </w:rPr>
              <w:t>banxico</w:t>
            </w:r>
            <w:r w:rsidR="001A4594">
              <w:rPr>
                <w:color w:val="000000"/>
                <w:sz w:val="16"/>
                <w:szCs w:val="16"/>
                <w:lang w:val="es-MX" w:eastAsia="es-MX"/>
              </w:rPr>
              <w:t>)</w:t>
            </w:r>
          </w:p>
        </w:tc>
      </w:tr>
      <w:tr w:rsidR="002E690E" w14:paraId="767AB41E" w14:textId="77777777" w:rsidTr="00B56A08">
        <w:trPr>
          <w:trHeight w:val="288"/>
          <w:jc w:val="center"/>
        </w:trPr>
        <w:tc>
          <w:tcPr>
            <w:tcW w:w="2840" w:type="dxa"/>
            <w:tcBorders>
              <w:top w:val="nil"/>
              <w:left w:val="single" w:sz="2" w:space="0" w:color="auto"/>
              <w:bottom w:val="nil"/>
              <w:right w:val="single" w:sz="2" w:space="0" w:color="auto"/>
            </w:tcBorders>
            <w:vAlign w:val="center"/>
            <w:hideMark/>
          </w:tcPr>
          <w:p w14:paraId="202B8808" w14:textId="5DE8A3F3" w:rsidR="002E690E" w:rsidRDefault="002E690E">
            <w:pPr>
              <w:jc w:val="left"/>
              <w:rPr>
                <w:color w:val="000000"/>
                <w:sz w:val="16"/>
                <w:szCs w:val="16"/>
                <w:lang w:val="es-MX" w:eastAsia="es-MX"/>
              </w:rPr>
            </w:pPr>
            <w:r>
              <w:rPr>
                <w:color w:val="000000"/>
                <w:sz w:val="16"/>
                <w:szCs w:val="16"/>
                <w:lang w:val="es-MX" w:eastAsia="es-MX"/>
              </w:rPr>
              <w:t>Combustibles-</w:t>
            </w:r>
            <w:proofErr w:type="spellStart"/>
            <w:r w:rsidR="00A365CE" w:rsidRPr="00EB4C46">
              <w:rPr>
                <w:smallCaps/>
                <w:color w:val="000000"/>
                <w:sz w:val="16"/>
                <w:szCs w:val="16"/>
                <w:lang w:val="es-MX" w:eastAsia="es-MX"/>
              </w:rPr>
              <w:t>sener</w:t>
            </w:r>
            <w:proofErr w:type="spellEnd"/>
          </w:p>
        </w:tc>
        <w:tc>
          <w:tcPr>
            <w:tcW w:w="3380" w:type="dxa"/>
            <w:tcBorders>
              <w:top w:val="nil"/>
              <w:left w:val="single" w:sz="2" w:space="0" w:color="auto"/>
              <w:bottom w:val="nil"/>
              <w:right w:val="single" w:sz="2" w:space="0" w:color="auto"/>
            </w:tcBorders>
            <w:vAlign w:val="center"/>
            <w:hideMark/>
          </w:tcPr>
          <w:p w14:paraId="410E5666" w14:textId="77777777" w:rsidR="002E690E" w:rsidRDefault="002E690E">
            <w:pPr>
              <w:jc w:val="left"/>
              <w:rPr>
                <w:color w:val="000000"/>
                <w:sz w:val="16"/>
                <w:szCs w:val="16"/>
                <w:lang w:val="es-MX" w:eastAsia="es-MX"/>
              </w:rPr>
            </w:pPr>
            <w:r>
              <w:rPr>
                <w:color w:val="000000"/>
                <w:sz w:val="16"/>
                <w:szCs w:val="16"/>
                <w:lang w:val="es-MX" w:eastAsia="es-MX"/>
              </w:rPr>
              <w:t>Demanda de combustibles</w:t>
            </w:r>
          </w:p>
        </w:tc>
        <w:tc>
          <w:tcPr>
            <w:tcW w:w="2960" w:type="dxa"/>
            <w:tcBorders>
              <w:top w:val="nil"/>
              <w:left w:val="single" w:sz="2" w:space="0" w:color="auto"/>
              <w:bottom w:val="nil"/>
              <w:right w:val="single" w:sz="2" w:space="0" w:color="auto"/>
            </w:tcBorders>
            <w:vAlign w:val="center"/>
            <w:hideMark/>
          </w:tcPr>
          <w:p w14:paraId="5E15696F" w14:textId="77777777" w:rsidR="002E690E" w:rsidRDefault="002E690E">
            <w:pPr>
              <w:jc w:val="left"/>
              <w:rPr>
                <w:color w:val="000000"/>
                <w:sz w:val="16"/>
                <w:szCs w:val="16"/>
                <w:lang w:val="es-MX" w:eastAsia="es-MX"/>
              </w:rPr>
            </w:pPr>
            <w:r>
              <w:rPr>
                <w:color w:val="000000"/>
                <w:sz w:val="16"/>
                <w:szCs w:val="16"/>
                <w:lang w:val="es-MX" w:eastAsia="es-MX"/>
              </w:rPr>
              <w:t>Secretaría de Energía</w:t>
            </w:r>
          </w:p>
        </w:tc>
      </w:tr>
      <w:tr w:rsidR="002E690E" w14:paraId="56C50A62" w14:textId="77777777" w:rsidTr="00B56A08">
        <w:trPr>
          <w:trHeight w:val="408"/>
          <w:jc w:val="center"/>
        </w:trPr>
        <w:tc>
          <w:tcPr>
            <w:tcW w:w="2840" w:type="dxa"/>
            <w:tcBorders>
              <w:top w:val="nil"/>
              <w:left w:val="single" w:sz="2" w:space="0" w:color="auto"/>
              <w:bottom w:val="nil"/>
              <w:right w:val="single" w:sz="2" w:space="0" w:color="auto"/>
            </w:tcBorders>
            <w:vAlign w:val="center"/>
            <w:hideMark/>
          </w:tcPr>
          <w:p w14:paraId="5C5CD935" w14:textId="77777777" w:rsidR="002E690E" w:rsidRDefault="002E690E">
            <w:pPr>
              <w:jc w:val="left"/>
              <w:rPr>
                <w:color w:val="000000"/>
                <w:sz w:val="16"/>
                <w:szCs w:val="16"/>
                <w:lang w:val="es-MX" w:eastAsia="es-MX"/>
              </w:rPr>
            </w:pPr>
            <w:r>
              <w:rPr>
                <w:color w:val="000000"/>
                <w:sz w:val="16"/>
                <w:szCs w:val="16"/>
                <w:lang w:val="es-MX" w:eastAsia="es-MX"/>
              </w:rPr>
              <w:t>Confianza-comercio</w:t>
            </w:r>
          </w:p>
        </w:tc>
        <w:tc>
          <w:tcPr>
            <w:tcW w:w="3380" w:type="dxa"/>
            <w:tcBorders>
              <w:top w:val="nil"/>
              <w:left w:val="single" w:sz="2" w:space="0" w:color="auto"/>
              <w:bottom w:val="nil"/>
              <w:right w:val="single" w:sz="2" w:space="0" w:color="auto"/>
            </w:tcBorders>
            <w:vAlign w:val="center"/>
            <w:hideMark/>
          </w:tcPr>
          <w:p w14:paraId="7105BF43" w14:textId="77777777" w:rsidR="002E690E" w:rsidRDefault="002E690E">
            <w:pPr>
              <w:jc w:val="left"/>
              <w:rPr>
                <w:color w:val="000000"/>
                <w:sz w:val="16"/>
                <w:szCs w:val="16"/>
                <w:lang w:val="es-MX" w:eastAsia="es-MX"/>
              </w:rPr>
            </w:pPr>
            <w:r>
              <w:rPr>
                <w:color w:val="000000"/>
                <w:sz w:val="16"/>
                <w:szCs w:val="16"/>
                <w:lang w:val="es-MX" w:eastAsia="es-MX"/>
              </w:rPr>
              <w:t>Momento adecuado para invertir del sector comercial</w:t>
            </w:r>
          </w:p>
        </w:tc>
        <w:tc>
          <w:tcPr>
            <w:tcW w:w="2960" w:type="dxa"/>
            <w:tcBorders>
              <w:top w:val="nil"/>
              <w:left w:val="single" w:sz="2" w:space="0" w:color="auto"/>
              <w:bottom w:val="nil"/>
              <w:right w:val="single" w:sz="2" w:space="0" w:color="auto"/>
            </w:tcBorders>
            <w:vAlign w:val="center"/>
            <w:hideMark/>
          </w:tcPr>
          <w:p w14:paraId="04875498" w14:textId="3721F895" w:rsidR="002E690E" w:rsidRPr="00EB4C46" w:rsidRDefault="00A365CE">
            <w:pPr>
              <w:jc w:val="left"/>
              <w:rPr>
                <w:smallCaps/>
                <w:color w:val="000000"/>
                <w:sz w:val="16"/>
                <w:szCs w:val="16"/>
                <w:lang w:val="es-MX" w:eastAsia="es-MX"/>
              </w:rPr>
            </w:pPr>
            <w:r w:rsidRPr="00EB4C46">
              <w:rPr>
                <w:smallCaps/>
                <w:color w:val="000000"/>
                <w:sz w:val="16"/>
                <w:szCs w:val="16"/>
                <w:lang w:val="es-MX" w:eastAsia="es-MX"/>
              </w:rPr>
              <w:t>inegi</w:t>
            </w:r>
          </w:p>
        </w:tc>
      </w:tr>
      <w:tr w:rsidR="002E690E" w14:paraId="22E51995" w14:textId="77777777" w:rsidTr="00B56A08">
        <w:trPr>
          <w:trHeight w:val="408"/>
          <w:jc w:val="center"/>
        </w:trPr>
        <w:tc>
          <w:tcPr>
            <w:tcW w:w="2840" w:type="dxa"/>
            <w:tcBorders>
              <w:top w:val="nil"/>
              <w:left w:val="single" w:sz="2" w:space="0" w:color="auto"/>
              <w:bottom w:val="nil"/>
              <w:right w:val="single" w:sz="2" w:space="0" w:color="auto"/>
            </w:tcBorders>
            <w:vAlign w:val="center"/>
            <w:hideMark/>
          </w:tcPr>
          <w:p w14:paraId="602C3029" w14:textId="77777777" w:rsidR="002E690E" w:rsidRDefault="002E690E">
            <w:pPr>
              <w:jc w:val="left"/>
              <w:rPr>
                <w:color w:val="000000"/>
                <w:sz w:val="16"/>
                <w:szCs w:val="16"/>
                <w:lang w:val="es-MX" w:eastAsia="es-MX"/>
              </w:rPr>
            </w:pPr>
            <w:r>
              <w:rPr>
                <w:color w:val="000000"/>
                <w:sz w:val="16"/>
                <w:szCs w:val="16"/>
                <w:lang w:val="es-MX" w:eastAsia="es-MX"/>
              </w:rPr>
              <w:t>Confianza-construcción</w:t>
            </w:r>
          </w:p>
        </w:tc>
        <w:tc>
          <w:tcPr>
            <w:tcW w:w="3380" w:type="dxa"/>
            <w:tcBorders>
              <w:top w:val="nil"/>
              <w:left w:val="single" w:sz="2" w:space="0" w:color="auto"/>
              <w:bottom w:val="nil"/>
              <w:right w:val="single" w:sz="2" w:space="0" w:color="auto"/>
            </w:tcBorders>
            <w:vAlign w:val="center"/>
            <w:hideMark/>
          </w:tcPr>
          <w:p w14:paraId="1A407794" w14:textId="77777777" w:rsidR="002E690E" w:rsidRDefault="002E690E">
            <w:pPr>
              <w:jc w:val="left"/>
              <w:rPr>
                <w:color w:val="000000"/>
                <w:sz w:val="16"/>
                <w:szCs w:val="16"/>
                <w:lang w:val="es-MX" w:eastAsia="es-MX"/>
              </w:rPr>
            </w:pPr>
            <w:r>
              <w:rPr>
                <w:color w:val="000000"/>
                <w:sz w:val="16"/>
                <w:szCs w:val="16"/>
                <w:lang w:val="es-MX" w:eastAsia="es-MX"/>
              </w:rPr>
              <w:t>Momento adecuado para invertir del sector construcción</w:t>
            </w:r>
          </w:p>
        </w:tc>
        <w:tc>
          <w:tcPr>
            <w:tcW w:w="2960" w:type="dxa"/>
            <w:tcBorders>
              <w:top w:val="nil"/>
              <w:left w:val="single" w:sz="2" w:space="0" w:color="auto"/>
              <w:bottom w:val="nil"/>
              <w:right w:val="single" w:sz="2" w:space="0" w:color="auto"/>
            </w:tcBorders>
            <w:vAlign w:val="center"/>
            <w:hideMark/>
          </w:tcPr>
          <w:p w14:paraId="363824B6" w14:textId="11E47561" w:rsidR="002E690E" w:rsidRPr="00EB4C46" w:rsidRDefault="00A365CE">
            <w:pPr>
              <w:jc w:val="left"/>
              <w:rPr>
                <w:smallCaps/>
                <w:color w:val="000000"/>
                <w:sz w:val="16"/>
                <w:szCs w:val="16"/>
                <w:lang w:val="es-MX" w:eastAsia="es-MX"/>
              </w:rPr>
            </w:pPr>
            <w:r w:rsidRPr="00EB4C46">
              <w:rPr>
                <w:smallCaps/>
                <w:color w:val="000000"/>
                <w:sz w:val="16"/>
                <w:szCs w:val="16"/>
                <w:lang w:val="es-MX" w:eastAsia="es-MX"/>
              </w:rPr>
              <w:t>inegi</w:t>
            </w:r>
          </w:p>
        </w:tc>
      </w:tr>
      <w:tr w:rsidR="002E690E" w14:paraId="29532AD5" w14:textId="77777777" w:rsidTr="00B56A08">
        <w:trPr>
          <w:trHeight w:val="408"/>
          <w:jc w:val="center"/>
        </w:trPr>
        <w:tc>
          <w:tcPr>
            <w:tcW w:w="2840" w:type="dxa"/>
            <w:tcBorders>
              <w:top w:val="nil"/>
              <w:left w:val="single" w:sz="2" w:space="0" w:color="auto"/>
              <w:bottom w:val="nil"/>
              <w:right w:val="single" w:sz="2" w:space="0" w:color="auto"/>
            </w:tcBorders>
            <w:vAlign w:val="center"/>
            <w:hideMark/>
          </w:tcPr>
          <w:p w14:paraId="4A133D33" w14:textId="77777777" w:rsidR="002E690E" w:rsidRDefault="002E690E">
            <w:pPr>
              <w:jc w:val="left"/>
              <w:rPr>
                <w:color w:val="000000"/>
                <w:sz w:val="16"/>
                <w:szCs w:val="16"/>
                <w:lang w:val="es-MX" w:eastAsia="es-MX"/>
              </w:rPr>
            </w:pPr>
            <w:r>
              <w:rPr>
                <w:color w:val="000000"/>
                <w:sz w:val="16"/>
                <w:szCs w:val="16"/>
                <w:lang w:val="es-MX" w:eastAsia="es-MX"/>
              </w:rPr>
              <w:t>Confianza-manufacturas</w:t>
            </w:r>
          </w:p>
        </w:tc>
        <w:tc>
          <w:tcPr>
            <w:tcW w:w="3380" w:type="dxa"/>
            <w:tcBorders>
              <w:top w:val="nil"/>
              <w:left w:val="single" w:sz="2" w:space="0" w:color="auto"/>
              <w:bottom w:val="nil"/>
              <w:right w:val="single" w:sz="2" w:space="0" w:color="auto"/>
            </w:tcBorders>
            <w:vAlign w:val="center"/>
            <w:hideMark/>
          </w:tcPr>
          <w:p w14:paraId="5F1F9FB9" w14:textId="77777777" w:rsidR="002E690E" w:rsidRDefault="002E690E">
            <w:pPr>
              <w:jc w:val="left"/>
              <w:rPr>
                <w:color w:val="000000"/>
                <w:sz w:val="16"/>
                <w:szCs w:val="16"/>
                <w:lang w:val="es-MX" w:eastAsia="es-MX"/>
              </w:rPr>
            </w:pPr>
            <w:r>
              <w:rPr>
                <w:color w:val="000000"/>
                <w:sz w:val="16"/>
                <w:szCs w:val="16"/>
                <w:lang w:val="es-MX" w:eastAsia="es-MX"/>
              </w:rPr>
              <w:t>Momento adecuado para invertir de las manufacturas</w:t>
            </w:r>
          </w:p>
        </w:tc>
        <w:tc>
          <w:tcPr>
            <w:tcW w:w="2960" w:type="dxa"/>
            <w:tcBorders>
              <w:top w:val="nil"/>
              <w:left w:val="single" w:sz="2" w:space="0" w:color="auto"/>
              <w:bottom w:val="nil"/>
              <w:right w:val="single" w:sz="2" w:space="0" w:color="auto"/>
            </w:tcBorders>
            <w:vAlign w:val="center"/>
            <w:hideMark/>
          </w:tcPr>
          <w:p w14:paraId="5B3F6003" w14:textId="7F17F9C6" w:rsidR="002E690E" w:rsidRPr="00EB4C46" w:rsidRDefault="00A365CE">
            <w:pPr>
              <w:jc w:val="left"/>
              <w:rPr>
                <w:smallCaps/>
                <w:color w:val="000000"/>
                <w:sz w:val="16"/>
                <w:szCs w:val="16"/>
                <w:lang w:val="es-MX" w:eastAsia="es-MX"/>
              </w:rPr>
            </w:pPr>
            <w:r w:rsidRPr="00EB4C46">
              <w:rPr>
                <w:smallCaps/>
                <w:color w:val="000000"/>
                <w:sz w:val="16"/>
                <w:szCs w:val="16"/>
                <w:lang w:val="es-MX" w:eastAsia="es-MX"/>
              </w:rPr>
              <w:t>inegi</w:t>
            </w:r>
          </w:p>
        </w:tc>
      </w:tr>
      <w:tr w:rsidR="002E690E" w14:paraId="7F7B108A" w14:textId="77777777" w:rsidTr="00B56A08">
        <w:trPr>
          <w:trHeight w:val="408"/>
          <w:jc w:val="center"/>
        </w:trPr>
        <w:tc>
          <w:tcPr>
            <w:tcW w:w="2840" w:type="dxa"/>
            <w:tcBorders>
              <w:top w:val="nil"/>
              <w:left w:val="single" w:sz="2" w:space="0" w:color="auto"/>
              <w:bottom w:val="nil"/>
              <w:right w:val="single" w:sz="2" w:space="0" w:color="auto"/>
            </w:tcBorders>
            <w:vAlign w:val="center"/>
            <w:hideMark/>
          </w:tcPr>
          <w:p w14:paraId="769EFBC0" w14:textId="77777777" w:rsidR="002E690E" w:rsidRDefault="002E690E">
            <w:pPr>
              <w:jc w:val="left"/>
              <w:rPr>
                <w:color w:val="000000"/>
                <w:sz w:val="16"/>
                <w:szCs w:val="16"/>
                <w:lang w:val="es-MX" w:eastAsia="es-MX"/>
              </w:rPr>
            </w:pPr>
            <w:r>
              <w:rPr>
                <w:color w:val="000000"/>
                <w:sz w:val="16"/>
                <w:szCs w:val="16"/>
                <w:lang w:val="es-MX" w:eastAsia="es-MX"/>
              </w:rPr>
              <w:t>Confianza-servicios</w:t>
            </w:r>
          </w:p>
        </w:tc>
        <w:tc>
          <w:tcPr>
            <w:tcW w:w="3380" w:type="dxa"/>
            <w:tcBorders>
              <w:top w:val="nil"/>
              <w:left w:val="single" w:sz="2" w:space="0" w:color="auto"/>
              <w:bottom w:val="nil"/>
              <w:right w:val="single" w:sz="2" w:space="0" w:color="auto"/>
            </w:tcBorders>
            <w:vAlign w:val="center"/>
            <w:hideMark/>
          </w:tcPr>
          <w:p w14:paraId="4C2CF4CD" w14:textId="77777777" w:rsidR="002E690E" w:rsidRDefault="002E690E">
            <w:pPr>
              <w:jc w:val="left"/>
              <w:rPr>
                <w:color w:val="000000"/>
                <w:sz w:val="16"/>
                <w:szCs w:val="16"/>
                <w:lang w:val="es-MX" w:eastAsia="es-MX"/>
              </w:rPr>
            </w:pPr>
            <w:r>
              <w:rPr>
                <w:color w:val="000000"/>
                <w:sz w:val="16"/>
                <w:szCs w:val="16"/>
                <w:lang w:val="es-MX" w:eastAsia="es-MX"/>
              </w:rPr>
              <w:t>Momento adecuado para invertir del sector servicios</w:t>
            </w:r>
          </w:p>
        </w:tc>
        <w:tc>
          <w:tcPr>
            <w:tcW w:w="2960" w:type="dxa"/>
            <w:tcBorders>
              <w:top w:val="nil"/>
              <w:left w:val="single" w:sz="2" w:space="0" w:color="auto"/>
              <w:bottom w:val="nil"/>
              <w:right w:val="single" w:sz="2" w:space="0" w:color="auto"/>
            </w:tcBorders>
            <w:vAlign w:val="center"/>
            <w:hideMark/>
          </w:tcPr>
          <w:p w14:paraId="73B846A5" w14:textId="0FA2CB0E" w:rsidR="002E690E" w:rsidRPr="00EB4C46" w:rsidRDefault="00A365CE">
            <w:pPr>
              <w:jc w:val="left"/>
              <w:rPr>
                <w:smallCaps/>
                <w:color w:val="000000"/>
                <w:sz w:val="16"/>
                <w:szCs w:val="16"/>
                <w:lang w:val="es-MX" w:eastAsia="es-MX"/>
              </w:rPr>
            </w:pPr>
            <w:r w:rsidRPr="00EB4C46">
              <w:rPr>
                <w:smallCaps/>
                <w:color w:val="000000"/>
                <w:sz w:val="16"/>
                <w:szCs w:val="16"/>
                <w:lang w:val="es-MX" w:eastAsia="es-MX"/>
              </w:rPr>
              <w:t>inegi</w:t>
            </w:r>
          </w:p>
        </w:tc>
      </w:tr>
      <w:tr w:rsidR="002E690E" w:rsidRPr="00895E7B" w14:paraId="16846091" w14:textId="77777777" w:rsidTr="00B56A08">
        <w:trPr>
          <w:trHeight w:val="288"/>
          <w:jc w:val="center"/>
        </w:trPr>
        <w:tc>
          <w:tcPr>
            <w:tcW w:w="2840" w:type="dxa"/>
            <w:tcBorders>
              <w:top w:val="nil"/>
              <w:left w:val="single" w:sz="2" w:space="0" w:color="auto"/>
              <w:bottom w:val="nil"/>
              <w:right w:val="single" w:sz="2" w:space="0" w:color="auto"/>
            </w:tcBorders>
            <w:vAlign w:val="center"/>
            <w:hideMark/>
          </w:tcPr>
          <w:p w14:paraId="2F366DDA" w14:textId="77777777" w:rsidR="002E690E" w:rsidRDefault="002E690E">
            <w:pPr>
              <w:jc w:val="left"/>
              <w:rPr>
                <w:color w:val="000000"/>
                <w:sz w:val="16"/>
                <w:szCs w:val="16"/>
                <w:lang w:val="es-MX" w:eastAsia="es-MX"/>
              </w:rPr>
            </w:pPr>
            <w:r>
              <w:rPr>
                <w:color w:val="000000"/>
                <w:sz w:val="16"/>
                <w:szCs w:val="16"/>
                <w:lang w:val="es-MX" w:eastAsia="es-MX"/>
              </w:rPr>
              <w:t>Desempleo Estados Unidos</w:t>
            </w:r>
          </w:p>
        </w:tc>
        <w:tc>
          <w:tcPr>
            <w:tcW w:w="3380" w:type="dxa"/>
            <w:tcBorders>
              <w:top w:val="nil"/>
              <w:left w:val="single" w:sz="2" w:space="0" w:color="auto"/>
              <w:bottom w:val="nil"/>
              <w:right w:val="single" w:sz="2" w:space="0" w:color="auto"/>
            </w:tcBorders>
            <w:vAlign w:val="center"/>
            <w:hideMark/>
          </w:tcPr>
          <w:p w14:paraId="56211771" w14:textId="77777777" w:rsidR="002E690E" w:rsidRDefault="002E690E">
            <w:pPr>
              <w:jc w:val="left"/>
              <w:rPr>
                <w:color w:val="000000"/>
                <w:sz w:val="16"/>
                <w:szCs w:val="16"/>
                <w:lang w:val="es-MX" w:eastAsia="es-MX"/>
              </w:rPr>
            </w:pPr>
            <w:r>
              <w:rPr>
                <w:color w:val="000000"/>
                <w:sz w:val="16"/>
                <w:szCs w:val="16"/>
                <w:lang w:val="es-MX" w:eastAsia="es-MX"/>
              </w:rPr>
              <w:t>Tasa de desempleo abierto, U3</w:t>
            </w:r>
          </w:p>
        </w:tc>
        <w:tc>
          <w:tcPr>
            <w:tcW w:w="2960" w:type="dxa"/>
            <w:tcBorders>
              <w:top w:val="nil"/>
              <w:left w:val="single" w:sz="2" w:space="0" w:color="auto"/>
              <w:bottom w:val="nil"/>
              <w:right w:val="single" w:sz="2" w:space="0" w:color="auto"/>
            </w:tcBorders>
            <w:vAlign w:val="center"/>
            <w:hideMark/>
          </w:tcPr>
          <w:p w14:paraId="4E8D1C52" w14:textId="075D0B67" w:rsidR="002E690E" w:rsidRPr="009B495D" w:rsidRDefault="002E690E">
            <w:pPr>
              <w:jc w:val="left"/>
              <w:rPr>
                <w:color w:val="000000"/>
                <w:sz w:val="16"/>
                <w:szCs w:val="16"/>
                <w:lang w:val="en-US" w:eastAsia="es-MX"/>
              </w:rPr>
            </w:pPr>
            <w:r w:rsidRPr="009B495D">
              <w:rPr>
                <w:color w:val="000000"/>
                <w:sz w:val="16"/>
                <w:szCs w:val="16"/>
                <w:lang w:val="en-US" w:eastAsia="es-MX"/>
              </w:rPr>
              <w:t>Bureau of Labor Statistics</w:t>
            </w:r>
            <w:r w:rsidR="00373821" w:rsidRPr="009B495D">
              <w:rPr>
                <w:color w:val="000000"/>
                <w:sz w:val="16"/>
                <w:szCs w:val="16"/>
                <w:lang w:val="en-US" w:eastAsia="es-MX"/>
              </w:rPr>
              <w:t xml:space="preserve"> (</w:t>
            </w:r>
            <w:r w:rsidR="00373821" w:rsidRPr="009B495D">
              <w:rPr>
                <w:smallCaps/>
                <w:color w:val="000000"/>
                <w:sz w:val="16"/>
                <w:szCs w:val="16"/>
                <w:lang w:val="en-US" w:eastAsia="es-MX"/>
              </w:rPr>
              <w:t>bls</w:t>
            </w:r>
            <w:r w:rsidR="00373821" w:rsidRPr="009B495D">
              <w:rPr>
                <w:color w:val="000000"/>
                <w:sz w:val="16"/>
                <w:szCs w:val="16"/>
                <w:lang w:val="en-US" w:eastAsia="es-MX"/>
              </w:rPr>
              <w:t>)</w:t>
            </w:r>
          </w:p>
        </w:tc>
      </w:tr>
      <w:tr w:rsidR="002E690E" w14:paraId="75041966" w14:textId="77777777" w:rsidTr="00B56A08">
        <w:trPr>
          <w:trHeight w:val="288"/>
          <w:jc w:val="center"/>
        </w:trPr>
        <w:tc>
          <w:tcPr>
            <w:tcW w:w="2840" w:type="dxa"/>
            <w:tcBorders>
              <w:top w:val="nil"/>
              <w:left w:val="single" w:sz="2" w:space="0" w:color="auto"/>
              <w:bottom w:val="nil"/>
              <w:right w:val="single" w:sz="2" w:space="0" w:color="auto"/>
            </w:tcBorders>
            <w:vAlign w:val="center"/>
            <w:hideMark/>
          </w:tcPr>
          <w:p w14:paraId="6F7947EE" w14:textId="77777777" w:rsidR="002E690E" w:rsidRDefault="002E690E">
            <w:pPr>
              <w:jc w:val="left"/>
              <w:rPr>
                <w:color w:val="000000"/>
                <w:sz w:val="16"/>
                <w:szCs w:val="16"/>
                <w:lang w:val="es-MX" w:eastAsia="es-MX"/>
              </w:rPr>
            </w:pPr>
            <w:r>
              <w:rPr>
                <w:color w:val="000000"/>
                <w:sz w:val="16"/>
                <w:szCs w:val="16"/>
                <w:lang w:val="es-MX" w:eastAsia="es-MX"/>
              </w:rPr>
              <w:t>Desocupación</w:t>
            </w:r>
          </w:p>
        </w:tc>
        <w:tc>
          <w:tcPr>
            <w:tcW w:w="3380" w:type="dxa"/>
            <w:tcBorders>
              <w:top w:val="nil"/>
              <w:left w:val="single" w:sz="2" w:space="0" w:color="auto"/>
              <w:bottom w:val="nil"/>
              <w:right w:val="single" w:sz="2" w:space="0" w:color="auto"/>
            </w:tcBorders>
            <w:vAlign w:val="center"/>
            <w:hideMark/>
          </w:tcPr>
          <w:p w14:paraId="1AC96A94" w14:textId="77777777" w:rsidR="002E690E" w:rsidRDefault="002E690E">
            <w:pPr>
              <w:jc w:val="left"/>
              <w:rPr>
                <w:color w:val="000000"/>
                <w:sz w:val="16"/>
                <w:szCs w:val="16"/>
                <w:lang w:val="es-MX" w:eastAsia="es-MX"/>
              </w:rPr>
            </w:pPr>
            <w:r>
              <w:rPr>
                <w:color w:val="000000"/>
                <w:sz w:val="16"/>
                <w:szCs w:val="16"/>
                <w:lang w:val="es-MX" w:eastAsia="es-MX"/>
              </w:rPr>
              <w:t>Tasa de desocupación en áreas urbanas</w:t>
            </w:r>
          </w:p>
        </w:tc>
        <w:tc>
          <w:tcPr>
            <w:tcW w:w="2960" w:type="dxa"/>
            <w:tcBorders>
              <w:top w:val="nil"/>
              <w:left w:val="single" w:sz="2" w:space="0" w:color="auto"/>
              <w:bottom w:val="nil"/>
              <w:right w:val="single" w:sz="2" w:space="0" w:color="auto"/>
            </w:tcBorders>
            <w:vAlign w:val="center"/>
            <w:hideMark/>
          </w:tcPr>
          <w:p w14:paraId="3C0A5FA5" w14:textId="16AE487A" w:rsidR="002E690E" w:rsidRDefault="00A365CE">
            <w:pPr>
              <w:jc w:val="left"/>
              <w:rPr>
                <w:color w:val="000000"/>
                <w:sz w:val="16"/>
                <w:szCs w:val="16"/>
                <w:lang w:val="es-MX" w:eastAsia="es-MX"/>
              </w:rPr>
            </w:pPr>
            <w:r w:rsidRPr="00EB4C46">
              <w:rPr>
                <w:smallCaps/>
                <w:color w:val="000000"/>
                <w:sz w:val="16"/>
                <w:szCs w:val="16"/>
                <w:lang w:val="es-MX" w:eastAsia="es-MX"/>
              </w:rPr>
              <w:t>inegi</w:t>
            </w:r>
          </w:p>
        </w:tc>
      </w:tr>
      <w:tr w:rsidR="002E690E" w14:paraId="21193BC9" w14:textId="77777777" w:rsidTr="00B56A08">
        <w:trPr>
          <w:trHeight w:val="288"/>
          <w:jc w:val="center"/>
        </w:trPr>
        <w:tc>
          <w:tcPr>
            <w:tcW w:w="2840" w:type="dxa"/>
            <w:tcBorders>
              <w:top w:val="nil"/>
              <w:left w:val="single" w:sz="2" w:space="0" w:color="auto"/>
              <w:bottom w:val="nil"/>
              <w:right w:val="single" w:sz="2" w:space="0" w:color="auto"/>
            </w:tcBorders>
            <w:vAlign w:val="center"/>
            <w:hideMark/>
          </w:tcPr>
          <w:p w14:paraId="394F63CD" w14:textId="276CABCA" w:rsidR="002E690E" w:rsidRDefault="002E690E">
            <w:pPr>
              <w:jc w:val="left"/>
              <w:rPr>
                <w:color w:val="000000"/>
                <w:sz w:val="16"/>
                <w:szCs w:val="16"/>
                <w:lang w:val="es-MX" w:eastAsia="es-MX"/>
              </w:rPr>
            </w:pPr>
            <w:r>
              <w:rPr>
                <w:color w:val="000000"/>
                <w:sz w:val="16"/>
                <w:szCs w:val="16"/>
                <w:lang w:val="es-MX" w:eastAsia="es-MX"/>
              </w:rPr>
              <w:t xml:space="preserve">Empleados construcción </w:t>
            </w:r>
            <w:proofErr w:type="spellStart"/>
            <w:r w:rsidR="00A365CE" w:rsidRPr="00EB4C46">
              <w:rPr>
                <w:smallCaps/>
                <w:color w:val="000000"/>
                <w:sz w:val="16"/>
                <w:szCs w:val="16"/>
                <w:lang w:val="es-MX" w:eastAsia="es-MX"/>
              </w:rPr>
              <w:t>eua</w:t>
            </w:r>
            <w:proofErr w:type="spellEnd"/>
          </w:p>
        </w:tc>
        <w:tc>
          <w:tcPr>
            <w:tcW w:w="3380" w:type="dxa"/>
            <w:tcBorders>
              <w:top w:val="nil"/>
              <w:left w:val="single" w:sz="2" w:space="0" w:color="auto"/>
              <w:bottom w:val="nil"/>
              <w:right w:val="single" w:sz="2" w:space="0" w:color="auto"/>
            </w:tcBorders>
            <w:vAlign w:val="center"/>
            <w:hideMark/>
          </w:tcPr>
          <w:p w14:paraId="35B49227" w14:textId="77777777" w:rsidR="002E690E" w:rsidRDefault="002E690E">
            <w:pPr>
              <w:jc w:val="left"/>
              <w:rPr>
                <w:color w:val="000000"/>
                <w:sz w:val="16"/>
                <w:szCs w:val="16"/>
                <w:lang w:val="es-MX" w:eastAsia="es-MX"/>
              </w:rPr>
            </w:pPr>
            <w:r>
              <w:rPr>
                <w:color w:val="000000"/>
                <w:sz w:val="16"/>
                <w:szCs w:val="16"/>
                <w:lang w:val="es-MX" w:eastAsia="es-MX"/>
              </w:rPr>
              <w:t>Total de empleados, miles, construcción</w:t>
            </w:r>
          </w:p>
        </w:tc>
        <w:tc>
          <w:tcPr>
            <w:tcW w:w="2960" w:type="dxa"/>
            <w:tcBorders>
              <w:top w:val="nil"/>
              <w:left w:val="single" w:sz="2" w:space="0" w:color="auto"/>
              <w:bottom w:val="nil"/>
              <w:right w:val="single" w:sz="2" w:space="0" w:color="auto"/>
            </w:tcBorders>
            <w:vAlign w:val="center"/>
            <w:hideMark/>
          </w:tcPr>
          <w:p w14:paraId="6B57C479" w14:textId="794651F0" w:rsidR="002E690E" w:rsidRDefault="00373821">
            <w:pPr>
              <w:jc w:val="left"/>
              <w:rPr>
                <w:color w:val="000000"/>
                <w:sz w:val="16"/>
                <w:szCs w:val="16"/>
                <w:lang w:val="es-MX" w:eastAsia="es-MX"/>
              </w:rPr>
            </w:pPr>
            <w:proofErr w:type="spellStart"/>
            <w:r w:rsidRPr="00373821">
              <w:rPr>
                <w:smallCaps/>
                <w:color w:val="000000"/>
                <w:sz w:val="16"/>
                <w:szCs w:val="16"/>
                <w:lang w:val="es-MX" w:eastAsia="es-MX"/>
              </w:rPr>
              <w:t>bls</w:t>
            </w:r>
            <w:proofErr w:type="spellEnd"/>
          </w:p>
        </w:tc>
      </w:tr>
      <w:tr w:rsidR="002E690E" w14:paraId="6F72538F" w14:textId="77777777" w:rsidTr="00B56A08">
        <w:trPr>
          <w:trHeight w:val="288"/>
          <w:jc w:val="center"/>
        </w:trPr>
        <w:tc>
          <w:tcPr>
            <w:tcW w:w="2840" w:type="dxa"/>
            <w:tcBorders>
              <w:top w:val="nil"/>
              <w:left w:val="single" w:sz="2" w:space="0" w:color="auto"/>
              <w:right w:val="single" w:sz="2" w:space="0" w:color="auto"/>
            </w:tcBorders>
            <w:vAlign w:val="center"/>
            <w:hideMark/>
          </w:tcPr>
          <w:p w14:paraId="6017622A" w14:textId="7F568011" w:rsidR="002E690E" w:rsidRDefault="002E690E">
            <w:pPr>
              <w:jc w:val="left"/>
              <w:rPr>
                <w:color w:val="000000"/>
                <w:sz w:val="16"/>
                <w:szCs w:val="16"/>
                <w:lang w:val="es-MX" w:eastAsia="es-MX"/>
              </w:rPr>
            </w:pPr>
            <w:r>
              <w:rPr>
                <w:color w:val="000000"/>
                <w:sz w:val="16"/>
                <w:szCs w:val="16"/>
                <w:lang w:val="es-MX" w:eastAsia="es-MX"/>
              </w:rPr>
              <w:t xml:space="preserve">Empleados manufacturas </w:t>
            </w:r>
            <w:proofErr w:type="spellStart"/>
            <w:r w:rsidR="00A365CE" w:rsidRPr="00EB4C46">
              <w:rPr>
                <w:smallCaps/>
                <w:color w:val="000000"/>
                <w:sz w:val="16"/>
                <w:szCs w:val="16"/>
                <w:lang w:val="es-MX" w:eastAsia="es-MX"/>
              </w:rPr>
              <w:t>eua</w:t>
            </w:r>
            <w:proofErr w:type="spellEnd"/>
          </w:p>
        </w:tc>
        <w:tc>
          <w:tcPr>
            <w:tcW w:w="3380" w:type="dxa"/>
            <w:tcBorders>
              <w:top w:val="nil"/>
              <w:left w:val="single" w:sz="2" w:space="0" w:color="auto"/>
              <w:right w:val="single" w:sz="2" w:space="0" w:color="auto"/>
            </w:tcBorders>
            <w:vAlign w:val="center"/>
            <w:hideMark/>
          </w:tcPr>
          <w:p w14:paraId="7C1DBE6B" w14:textId="77777777" w:rsidR="002E690E" w:rsidRDefault="002E690E">
            <w:pPr>
              <w:jc w:val="left"/>
              <w:rPr>
                <w:color w:val="000000"/>
                <w:sz w:val="16"/>
                <w:szCs w:val="16"/>
                <w:lang w:val="es-MX" w:eastAsia="es-MX"/>
              </w:rPr>
            </w:pPr>
            <w:r>
              <w:rPr>
                <w:color w:val="000000"/>
                <w:sz w:val="16"/>
                <w:szCs w:val="16"/>
                <w:lang w:val="es-MX" w:eastAsia="es-MX"/>
              </w:rPr>
              <w:t>Total de empleados, miles, manufacturas</w:t>
            </w:r>
          </w:p>
        </w:tc>
        <w:tc>
          <w:tcPr>
            <w:tcW w:w="2960" w:type="dxa"/>
            <w:tcBorders>
              <w:top w:val="nil"/>
              <w:left w:val="single" w:sz="2" w:space="0" w:color="auto"/>
              <w:right w:val="single" w:sz="2" w:space="0" w:color="auto"/>
            </w:tcBorders>
            <w:vAlign w:val="center"/>
            <w:hideMark/>
          </w:tcPr>
          <w:p w14:paraId="1C1F14EC" w14:textId="4E4AC7D6" w:rsidR="002E690E" w:rsidRDefault="00373821">
            <w:pPr>
              <w:jc w:val="left"/>
              <w:rPr>
                <w:color w:val="000000"/>
                <w:sz w:val="16"/>
                <w:szCs w:val="16"/>
                <w:lang w:val="es-MX" w:eastAsia="es-MX"/>
              </w:rPr>
            </w:pPr>
            <w:proofErr w:type="spellStart"/>
            <w:r w:rsidRPr="00373821">
              <w:rPr>
                <w:smallCaps/>
                <w:color w:val="000000"/>
                <w:sz w:val="16"/>
                <w:szCs w:val="16"/>
                <w:lang w:val="es-MX" w:eastAsia="es-MX"/>
              </w:rPr>
              <w:t>bls</w:t>
            </w:r>
            <w:proofErr w:type="spellEnd"/>
          </w:p>
        </w:tc>
      </w:tr>
      <w:tr w:rsidR="002E690E" w14:paraId="5CE217AA" w14:textId="77777777" w:rsidTr="00B56A08">
        <w:trPr>
          <w:trHeight w:val="288"/>
          <w:jc w:val="center"/>
        </w:trPr>
        <w:tc>
          <w:tcPr>
            <w:tcW w:w="2840" w:type="dxa"/>
            <w:tcBorders>
              <w:top w:val="nil"/>
              <w:left w:val="single" w:sz="2" w:space="0" w:color="auto"/>
              <w:right w:val="single" w:sz="2" w:space="0" w:color="auto"/>
            </w:tcBorders>
            <w:vAlign w:val="center"/>
            <w:hideMark/>
          </w:tcPr>
          <w:p w14:paraId="0FFC8D23" w14:textId="6AA07D75" w:rsidR="002E690E" w:rsidRDefault="002E690E">
            <w:pPr>
              <w:jc w:val="left"/>
              <w:rPr>
                <w:color w:val="000000"/>
                <w:sz w:val="16"/>
                <w:szCs w:val="16"/>
                <w:lang w:val="es-MX" w:eastAsia="es-MX"/>
              </w:rPr>
            </w:pPr>
            <w:r>
              <w:rPr>
                <w:color w:val="000000"/>
                <w:sz w:val="16"/>
                <w:szCs w:val="16"/>
                <w:lang w:val="es-MX" w:eastAsia="es-MX"/>
              </w:rPr>
              <w:t xml:space="preserve">Empleados servicios </w:t>
            </w:r>
            <w:proofErr w:type="spellStart"/>
            <w:r w:rsidR="00A365CE" w:rsidRPr="00EB4C46">
              <w:rPr>
                <w:smallCaps/>
                <w:color w:val="000000"/>
                <w:sz w:val="16"/>
                <w:szCs w:val="16"/>
                <w:lang w:val="es-MX" w:eastAsia="es-MX"/>
              </w:rPr>
              <w:t>eua</w:t>
            </w:r>
            <w:proofErr w:type="spellEnd"/>
          </w:p>
        </w:tc>
        <w:tc>
          <w:tcPr>
            <w:tcW w:w="3380" w:type="dxa"/>
            <w:tcBorders>
              <w:top w:val="nil"/>
              <w:left w:val="single" w:sz="2" w:space="0" w:color="auto"/>
              <w:right w:val="single" w:sz="2" w:space="0" w:color="auto"/>
            </w:tcBorders>
            <w:vAlign w:val="center"/>
            <w:hideMark/>
          </w:tcPr>
          <w:p w14:paraId="66BF38AD" w14:textId="77777777" w:rsidR="002E690E" w:rsidRDefault="002E690E">
            <w:pPr>
              <w:jc w:val="left"/>
              <w:rPr>
                <w:color w:val="000000"/>
                <w:sz w:val="16"/>
                <w:szCs w:val="16"/>
                <w:lang w:val="es-MX" w:eastAsia="es-MX"/>
              </w:rPr>
            </w:pPr>
            <w:r>
              <w:rPr>
                <w:color w:val="000000"/>
                <w:sz w:val="16"/>
                <w:szCs w:val="16"/>
                <w:lang w:val="es-MX" w:eastAsia="es-MX"/>
              </w:rPr>
              <w:t>Total de empleados, miles, servicios</w:t>
            </w:r>
          </w:p>
        </w:tc>
        <w:tc>
          <w:tcPr>
            <w:tcW w:w="2960" w:type="dxa"/>
            <w:tcBorders>
              <w:top w:val="nil"/>
              <w:left w:val="single" w:sz="2" w:space="0" w:color="auto"/>
              <w:right w:val="single" w:sz="2" w:space="0" w:color="auto"/>
            </w:tcBorders>
            <w:vAlign w:val="center"/>
            <w:hideMark/>
          </w:tcPr>
          <w:p w14:paraId="50EE3131" w14:textId="4F0E403C" w:rsidR="002E690E" w:rsidRDefault="00373821">
            <w:pPr>
              <w:jc w:val="left"/>
              <w:rPr>
                <w:color w:val="000000"/>
                <w:sz w:val="16"/>
                <w:szCs w:val="16"/>
                <w:lang w:val="es-MX" w:eastAsia="es-MX"/>
              </w:rPr>
            </w:pPr>
            <w:proofErr w:type="spellStart"/>
            <w:r w:rsidRPr="00373821">
              <w:rPr>
                <w:smallCaps/>
                <w:color w:val="000000"/>
                <w:sz w:val="16"/>
                <w:szCs w:val="16"/>
                <w:lang w:val="es-MX" w:eastAsia="es-MX"/>
              </w:rPr>
              <w:t>bls</w:t>
            </w:r>
            <w:proofErr w:type="spellEnd"/>
          </w:p>
        </w:tc>
      </w:tr>
      <w:tr w:rsidR="002E690E" w14:paraId="0EA22BD6" w14:textId="77777777" w:rsidTr="00E16102">
        <w:trPr>
          <w:trHeight w:val="288"/>
          <w:jc w:val="center"/>
        </w:trPr>
        <w:tc>
          <w:tcPr>
            <w:tcW w:w="2840" w:type="dxa"/>
            <w:tcBorders>
              <w:left w:val="single" w:sz="2" w:space="0" w:color="auto"/>
              <w:right w:val="single" w:sz="2" w:space="0" w:color="auto"/>
            </w:tcBorders>
            <w:vAlign w:val="center"/>
            <w:hideMark/>
          </w:tcPr>
          <w:p w14:paraId="68B2C00E" w14:textId="13CB1061" w:rsidR="002E690E" w:rsidRDefault="002E690E">
            <w:pPr>
              <w:jc w:val="left"/>
              <w:rPr>
                <w:color w:val="000000"/>
                <w:sz w:val="16"/>
                <w:szCs w:val="16"/>
                <w:lang w:val="es-MX" w:eastAsia="es-MX"/>
              </w:rPr>
            </w:pPr>
            <w:r>
              <w:rPr>
                <w:color w:val="000000"/>
                <w:sz w:val="16"/>
                <w:szCs w:val="16"/>
                <w:lang w:val="es-MX" w:eastAsia="es-MX"/>
              </w:rPr>
              <w:t xml:space="preserve">Empleados totales </w:t>
            </w:r>
            <w:proofErr w:type="spellStart"/>
            <w:r w:rsidR="00A365CE" w:rsidRPr="00EB4C46">
              <w:rPr>
                <w:smallCaps/>
                <w:color w:val="000000"/>
                <w:sz w:val="16"/>
                <w:szCs w:val="16"/>
                <w:lang w:val="es-MX" w:eastAsia="es-MX"/>
              </w:rPr>
              <w:t>eua</w:t>
            </w:r>
            <w:proofErr w:type="spellEnd"/>
          </w:p>
        </w:tc>
        <w:tc>
          <w:tcPr>
            <w:tcW w:w="3380" w:type="dxa"/>
            <w:tcBorders>
              <w:left w:val="single" w:sz="2" w:space="0" w:color="auto"/>
              <w:right w:val="single" w:sz="2" w:space="0" w:color="auto"/>
            </w:tcBorders>
            <w:vAlign w:val="center"/>
            <w:hideMark/>
          </w:tcPr>
          <w:p w14:paraId="2C7EB71F" w14:textId="77777777" w:rsidR="002E690E" w:rsidRDefault="002E690E">
            <w:pPr>
              <w:jc w:val="left"/>
              <w:rPr>
                <w:color w:val="000000"/>
                <w:sz w:val="16"/>
                <w:szCs w:val="16"/>
                <w:lang w:val="es-MX" w:eastAsia="es-MX"/>
              </w:rPr>
            </w:pPr>
            <w:r>
              <w:rPr>
                <w:color w:val="000000"/>
                <w:sz w:val="16"/>
                <w:szCs w:val="16"/>
                <w:lang w:val="es-MX" w:eastAsia="es-MX"/>
              </w:rPr>
              <w:t>Total de empleados, miles</w:t>
            </w:r>
          </w:p>
        </w:tc>
        <w:tc>
          <w:tcPr>
            <w:tcW w:w="2960" w:type="dxa"/>
            <w:tcBorders>
              <w:left w:val="single" w:sz="2" w:space="0" w:color="auto"/>
              <w:right w:val="single" w:sz="2" w:space="0" w:color="auto"/>
            </w:tcBorders>
            <w:vAlign w:val="center"/>
            <w:hideMark/>
          </w:tcPr>
          <w:p w14:paraId="1443F888" w14:textId="0A00DC46" w:rsidR="002E690E" w:rsidRDefault="00373821">
            <w:pPr>
              <w:jc w:val="left"/>
              <w:rPr>
                <w:color w:val="000000"/>
                <w:sz w:val="16"/>
                <w:szCs w:val="16"/>
                <w:lang w:val="es-MX" w:eastAsia="es-MX"/>
              </w:rPr>
            </w:pPr>
            <w:proofErr w:type="spellStart"/>
            <w:r w:rsidRPr="00373821">
              <w:rPr>
                <w:smallCaps/>
                <w:color w:val="000000"/>
                <w:sz w:val="16"/>
                <w:szCs w:val="16"/>
                <w:lang w:val="es-MX" w:eastAsia="es-MX"/>
              </w:rPr>
              <w:t>bls</w:t>
            </w:r>
            <w:proofErr w:type="spellEnd"/>
          </w:p>
        </w:tc>
      </w:tr>
      <w:tr w:rsidR="002E690E" w14:paraId="3340F9FD" w14:textId="77777777" w:rsidTr="00E16102">
        <w:trPr>
          <w:trHeight w:val="288"/>
          <w:jc w:val="center"/>
        </w:trPr>
        <w:tc>
          <w:tcPr>
            <w:tcW w:w="2840" w:type="dxa"/>
            <w:tcBorders>
              <w:top w:val="nil"/>
              <w:left w:val="single" w:sz="2" w:space="0" w:color="auto"/>
              <w:right w:val="single" w:sz="2" w:space="0" w:color="auto"/>
            </w:tcBorders>
            <w:vAlign w:val="center"/>
            <w:hideMark/>
          </w:tcPr>
          <w:p w14:paraId="7E786D95" w14:textId="77777777" w:rsidR="002E690E" w:rsidRDefault="002E690E">
            <w:pPr>
              <w:jc w:val="left"/>
              <w:rPr>
                <w:color w:val="000000"/>
                <w:sz w:val="16"/>
                <w:szCs w:val="16"/>
                <w:lang w:val="es-MX" w:eastAsia="es-MX"/>
              </w:rPr>
            </w:pPr>
            <w:r>
              <w:rPr>
                <w:color w:val="000000"/>
                <w:sz w:val="16"/>
                <w:szCs w:val="16"/>
                <w:lang w:val="es-MX" w:eastAsia="es-MX"/>
              </w:rPr>
              <w:t>Empleo de manufacturas</w:t>
            </w:r>
          </w:p>
        </w:tc>
        <w:tc>
          <w:tcPr>
            <w:tcW w:w="3380" w:type="dxa"/>
            <w:tcBorders>
              <w:top w:val="nil"/>
              <w:left w:val="single" w:sz="2" w:space="0" w:color="auto"/>
              <w:right w:val="single" w:sz="2" w:space="0" w:color="auto"/>
            </w:tcBorders>
            <w:vAlign w:val="center"/>
            <w:hideMark/>
          </w:tcPr>
          <w:p w14:paraId="6D10D9D9" w14:textId="77777777" w:rsidR="002E690E" w:rsidRDefault="002E690E">
            <w:pPr>
              <w:jc w:val="left"/>
              <w:rPr>
                <w:color w:val="000000"/>
                <w:sz w:val="16"/>
                <w:szCs w:val="16"/>
                <w:lang w:val="es-MX" w:eastAsia="es-MX"/>
              </w:rPr>
            </w:pPr>
            <w:r>
              <w:rPr>
                <w:color w:val="000000"/>
                <w:sz w:val="16"/>
                <w:szCs w:val="16"/>
                <w:lang w:val="es-MX" w:eastAsia="es-MX"/>
              </w:rPr>
              <w:t>Personal ocupado (serie de tenencia)</w:t>
            </w:r>
          </w:p>
        </w:tc>
        <w:tc>
          <w:tcPr>
            <w:tcW w:w="2960" w:type="dxa"/>
            <w:tcBorders>
              <w:top w:val="nil"/>
              <w:left w:val="single" w:sz="2" w:space="0" w:color="auto"/>
              <w:right w:val="single" w:sz="2" w:space="0" w:color="auto"/>
            </w:tcBorders>
            <w:vAlign w:val="center"/>
            <w:hideMark/>
          </w:tcPr>
          <w:p w14:paraId="3A824940" w14:textId="02EC04B2" w:rsidR="002E690E" w:rsidRPr="00EB4C46" w:rsidRDefault="00A365CE">
            <w:pPr>
              <w:jc w:val="left"/>
              <w:rPr>
                <w:smallCaps/>
                <w:color w:val="000000"/>
                <w:sz w:val="16"/>
                <w:szCs w:val="16"/>
                <w:lang w:val="es-MX" w:eastAsia="es-MX"/>
              </w:rPr>
            </w:pPr>
            <w:r w:rsidRPr="00EB4C46">
              <w:rPr>
                <w:smallCaps/>
                <w:color w:val="000000"/>
                <w:sz w:val="16"/>
                <w:szCs w:val="16"/>
                <w:lang w:val="es-MX" w:eastAsia="es-MX"/>
              </w:rPr>
              <w:t>inegi</w:t>
            </w:r>
          </w:p>
        </w:tc>
      </w:tr>
      <w:tr w:rsidR="002E690E" w14:paraId="6A6C37A9" w14:textId="77777777" w:rsidTr="00E16102">
        <w:trPr>
          <w:trHeight w:val="288"/>
          <w:jc w:val="center"/>
        </w:trPr>
        <w:tc>
          <w:tcPr>
            <w:tcW w:w="2840" w:type="dxa"/>
            <w:tcBorders>
              <w:left w:val="single" w:sz="2" w:space="0" w:color="auto"/>
              <w:bottom w:val="single" w:sz="4" w:space="0" w:color="auto"/>
              <w:right w:val="single" w:sz="2" w:space="0" w:color="auto"/>
            </w:tcBorders>
            <w:vAlign w:val="center"/>
            <w:hideMark/>
          </w:tcPr>
          <w:p w14:paraId="5EC31B4D" w14:textId="77777777" w:rsidR="002E690E" w:rsidRDefault="002E690E">
            <w:pPr>
              <w:jc w:val="left"/>
              <w:rPr>
                <w:color w:val="000000"/>
                <w:sz w:val="16"/>
                <w:szCs w:val="16"/>
                <w:lang w:val="es-MX" w:eastAsia="es-MX"/>
              </w:rPr>
            </w:pPr>
            <w:r>
              <w:rPr>
                <w:color w:val="000000"/>
                <w:sz w:val="16"/>
                <w:szCs w:val="16"/>
                <w:lang w:val="es-MX" w:eastAsia="es-MX"/>
              </w:rPr>
              <w:t>Exportaciones</w:t>
            </w:r>
          </w:p>
        </w:tc>
        <w:tc>
          <w:tcPr>
            <w:tcW w:w="3380" w:type="dxa"/>
            <w:tcBorders>
              <w:left w:val="single" w:sz="2" w:space="0" w:color="auto"/>
              <w:bottom w:val="single" w:sz="4" w:space="0" w:color="auto"/>
              <w:right w:val="single" w:sz="2" w:space="0" w:color="auto"/>
            </w:tcBorders>
            <w:vAlign w:val="center"/>
            <w:hideMark/>
          </w:tcPr>
          <w:p w14:paraId="7DFB423E" w14:textId="77777777" w:rsidR="002E690E" w:rsidRDefault="002E690E">
            <w:pPr>
              <w:jc w:val="left"/>
              <w:rPr>
                <w:color w:val="000000"/>
                <w:sz w:val="16"/>
                <w:szCs w:val="16"/>
                <w:lang w:val="es-MX" w:eastAsia="es-MX"/>
              </w:rPr>
            </w:pPr>
            <w:r>
              <w:rPr>
                <w:color w:val="000000"/>
                <w:sz w:val="16"/>
                <w:szCs w:val="16"/>
                <w:lang w:val="es-MX" w:eastAsia="es-MX"/>
              </w:rPr>
              <w:t>Exportaciones totales</w:t>
            </w:r>
          </w:p>
        </w:tc>
        <w:tc>
          <w:tcPr>
            <w:tcW w:w="2960" w:type="dxa"/>
            <w:tcBorders>
              <w:left w:val="single" w:sz="2" w:space="0" w:color="auto"/>
              <w:bottom w:val="single" w:sz="4" w:space="0" w:color="auto"/>
              <w:right w:val="single" w:sz="2" w:space="0" w:color="auto"/>
            </w:tcBorders>
            <w:vAlign w:val="center"/>
            <w:hideMark/>
          </w:tcPr>
          <w:p w14:paraId="2B294C98" w14:textId="5913C188" w:rsidR="002E690E" w:rsidRPr="00EB4C46" w:rsidRDefault="00A365CE">
            <w:pPr>
              <w:jc w:val="left"/>
              <w:rPr>
                <w:smallCaps/>
                <w:color w:val="000000"/>
                <w:sz w:val="16"/>
                <w:szCs w:val="16"/>
                <w:lang w:val="es-MX" w:eastAsia="es-MX"/>
              </w:rPr>
            </w:pPr>
            <w:r w:rsidRPr="00EB4C46">
              <w:rPr>
                <w:smallCaps/>
                <w:color w:val="000000"/>
                <w:sz w:val="16"/>
                <w:szCs w:val="16"/>
                <w:lang w:val="es-MX" w:eastAsia="es-MX"/>
              </w:rPr>
              <w:t>inegi</w:t>
            </w:r>
          </w:p>
        </w:tc>
      </w:tr>
      <w:tr w:rsidR="002E690E" w14:paraId="43669E60" w14:textId="77777777" w:rsidTr="00E16102">
        <w:trPr>
          <w:trHeight w:val="288"/>
          <w:jc w:val="center"/>
        </w:trPr>
        <w:tc>
          <w:tcPr>
            <w:tcW w:w="2840" w:type="dxa"/>
            <w:tcBorders>
              <w:top w:val="single" w:sz="4" w:space="0" w:color="auto"/>
              <w:left w:val="single" w:sz="2" w:space="0" w:color="auto"/>
              <w:bottom w:val="nil"/>
              <w:right w:val="single" w:sz="2" w:space="0" w:color="auto"/>
            </w:tcBorders>
            <w:vAlign w:val="center"/>
            <w:hideMark/>
          </w:tcPr>
          <w:p w14:paraId="54A0436E" w14:textId="77777777" w:rsidR="002E690E" w:rsidRDefault="002E690E">
            <w:pPr>
              <w:jc w:val="left"/>
              <w:rPr>
                <w:color w:val="000000"/>
                <w:sz w:val="16"/>
                <w:szCs w:val="16"/>
                <w:lang w:val="es-MX" w:eastAsia="es-MX"/>
              </w:rPr>
            </w:pPr>
            <w:r>
              <w:rPr>
                <w:color w:val="000000"/>
                <w:sz w:val="16"/>
                <w:szCs w:val="16"/>
                <w:lang w:val="es-MX" w:eastAsia="es-MX"/>
              </w:rPr>
              <w:lastRenderedPageBreak/>
              <w:t xml:space="preserve">Google </w:t>
            </w:r>
            <w:proofErr w:type="spellStart"/>
            <w:r>
              <w:rPr>
                <w:color w:val="000000"/>
                <w:sz w:val="16"/>
                <w:szCs w:val="16"/>
                <w:lang w:val="es-MX" w:eastAsia="es-MX"/>
              </w:rPr>
              <w:t>Trends</w:t>
            </w:r>
            <w:proofErr w:type="spellEnd"/>
          </w:p>
        </w:tc>
        <w:tc>
          <w:tcPr>
            <w:tcW w:w="3380" w:type="dxa"/>
            <w:tcBorders>
              <w:top w:val="single" w:sz="4" w:space="0" w:color="auto"/>
              <w:left w:val="single" w:sz="2" w:space="0" w:color="auto"/>
              <w:bottom w:val="nil"/>
              <w:right w:val="single" w:sz="2" w:space="0" w:color="auto"/>
            </w:tcBorders>
            <w:vAlign w:val="center"/>
            <w:hideMark/>
          </w:tcPr>
          <w:p w14:paraId="2347C887" w14:textId="77777777" w:rsidR="002E690E" w:rsidRDefault="002E690E">
            <w:pPr>
              <w:jc w:val="left"/>
              <w:rPr>
                <w:color w:val="000000"/>
                <w:sz w:val="16"/>
                <w:szCs w:val="16"/>
                <w:lang w:val="es-MX" w:eastAsia="es-MX"/>
              </w:rPr>
            </w:pPr>
            <w:r>
              <w:rPr>
                <w:color w:val="000000"/>
                <w:sz w:val="16"/>
                <w:szCs w:val="16"/>
                <w:lang w:val="es-MX" w:eastAsia="es-MX"/>
              </w:rPr>
              <w:t xml:space="preserve">Tópicos relevantes de Google </w:t>
            </w:r>
            <w:proofErr w:type="spellStart"/>
            <w:r>
              <w:rPr>
                <w:color w:val="000000"/>
                <w:sz w:val="16"/>
                <w:szCs w:val="16"/>
                <w:lang w:val="es-MX" w:eastAsia="es-MX"/>
              </w:rPr>
              <w:t>Trends</w:t>
            </w:r>
            <w:proofErr w:type="spellEnd"/>
          </w:p>
        </w:tc>
        <w:tc>
          <w:tcPr>
            <w:tcW w:w="2960" w:type="dxa"/>
            <w:tcBorders>
              <w:top w:val="single" w:sz="4" w:space="0" w:color="auto"/>
              <w:left w:val="single" w:sz="2" w:space="0" w:color="auto"/>
              <w:bottom w:val="nil"/>
              <w:right w:val="single" w:sz="2" w:space="0" w:color="auto"/>
            </w:tcBorders>
            <w:vAlign w:val="center"/>
            <w:hideMark/>
          </w:tcPr>
          <w:p w14:paraId="13E4964C" w14:textId="77777777" w:rsidR="002E690E" w:rsidRDefault="002E690E">
            <w:pPr>
              <w:jc w:val="left"/>
              <w:rPr>
                <w:color w:val="000000"/>
                <w:sz w:val="16"/>
                <w:szCs w:val="16"/>
                <w:lang w:val="es-MX" w:eastAsia="es-MX"/>
              </w:rPr>
            </w:pPr>
            <w:r>
              <w:rPr>
                <w:color w:val="000000"/>
                <w:sz w:val="16"/>
                <w:szCs w:val="16"/>
                <w:lang w:val="es-MX" w:eastAsia="es-MX"/>
              </w:rPr>
              <w:t>Google</w:t>
            </w:r>
          </w:p>
        </w:tc>
      </w:tr>
      <w:tr w:rsidR="002E690E" w14:paraId="60B8316A" w14:textId="77777777" w:rsidTr="00B56A08">
        <w:trPr>
          <w:trHeight w:val="288"/>
          <w:jc w:val="center"/>
        </w:trPr>
        <w:tc>
          <w:tcPr>
            <w:tcW w:w="2840" w:type="dxa"/>
            <w:tcBorders>
              <w:top w:val="nil"/>
              <w:left w:val="single" w:sz="2" w:space="0" w:color="auto"/>
              <w:bottom w:val="nil"/>
              <w:right w:val="single" w:sz="2" w:space="0" w:color="auto"/>
            </w:tcBorders>
            <w:vAlign w:val="center"/>
            <w:hideMark/>
          </w:tcPr>
          <w:p w14:paraId="52D6AEA0" w14:textId="77777777" w:rsidR="002E690E" w:rsidRDefault="002E690E">
            <w:pPr>
              <w:jc w:val="left"/>
              <w:rPr>
                <w:color w:val="000000"/>
                <w:sz w:val="16"/>
                <w:szCs w:val="16"/>
                <w:lang w:val="es-MX" w:eastAsia="es-MX"/>
              </w:rPr>
            </w:pPr>
            <w:r>
              <w:rPr>
                <w:color w:val="000000"/>
                <w:sz w:val="16"/>
                <w:szCs w:val="16"/>
                <w:lang w:val="es-MX" w:eastAsia="es-MX"/>
              </w:rPr>
              <w:t>Importaciones</w:t>
            </w:r>
          </w:p>
        </w:tc>
        <w:tc>
          <w:tcPr>
            <w:tcW w:w="3380" w:type="dxa"/>
            <w:tcBorders>
              <w:top w:val="nil"/>
              <w:left w:val="single" w:sz="2" w:space="0" w:color="auto"/>
              <w:bottom w:val="nil"/>
              <w:right w:val="single" w:sz="2" w:space="0" w:color="auto"/>
            </w:tcBorders>
            <w:vAlign w:val="center"/>
            <w:hideMark/>
          </w:tcPr>
          <w:p w14:paraId="10F62398" w14:textId="77777777" w:rsidR="002E690E" w:rsidRDefault="002E690E">
            <w:pPr>
              <w:jc w:val="left"/>
              <w:rPr>
                <w:color w:val="000000"/>
                <w:sz w:val="16"/>
                <w:szCs w:val="16"/>
                <w:lang w:val="es-MX" w:eastAsia="es-MX"/>
              </w:rPr>
            </w:pPr>
            <w:r>
              <w:rPr>
                <w:color w:val="000000"/>
                <w:sz w:val="16"/>
                <w:szCs w:val="16"/>
                <w:lang w:val="es-MX" w:eastAsia="es-MX"/>
              </w:rPr>
              <w:t>Importaciones totales</w:t>
            </w:r>
          </w:p>
        </w:tc>
        <w:tc>
          <w:tcPr>
            <w:tcW w:w="2960" w:type="dxa"/>
            <w:tcBorders>
              <w:top w:val="nil"/>
              <w:left w:val="single" w:sz="2" w:space="0" w:color="auto"/>
              <w:bottom w:val="nil"/>
              <w:right w:val="single" w:sz="2" w:space="0" w:color="auto"/>
            </w:tcBorders>
            <w:vAlign w:val="center"/>
            <w:hideMark/>
          </w:tcPr>
          <w:p w14:paraId="4DC02E2C" w14:textId="6C7B8E36" w:rsidR="002E690E" w:rsidRDefault="00A365CE">
            <w:pPr>
              <w:jc w:val="left"/>
              <w:rPr>
                <w:color w:val="000000"/>
                <w:sz w:val="16"/>
                <w:szCs w:val="16"/>
                <w:lang w:val="es-MX" w:eastAsia="es-MX"/>
              </w:rPr>
            </w:pPr>
            <w:r w:rsidRPr="00EB4C46">
              <w:rPr>
                <w:smallCaps/>
                <w:color w:val="000000"/>
                <w:sz w:val="16"/>
                <w:szCs w:val="16"/>
                <w:lang w:val="es-MX" w:eastAsia="es-MX"/>
              </w:rPr>
              <w:t>inegi</w:t>
            </w:r>
          </w:p>
        </w:tc>
      </w:tr>
      <w:tr w:rsidR="002E690E" w14:paraId="2AFE6631" w14:textId="77777777" w:rsidTr="00B56A08">
        <w:trPr>
          <w:trHeight w:val="408"/>
          <w:jc w:val="center"/>
        </w:trPr>
        <w:tc>
          <w:tcPr>
            <w:tcW w:w="2840" w:type="dxa"/>
            <w:tcBorders>
              <w:top w:val="nil"/>
              <w:left w:val="single" w:sz="2" w:space="0" w:color="auto"/>
              <w:bottom w:val="nil"/>
              <w:right w:val="single" w:sz="2" w:space="0" w:color="auto"/>
            </w:tcBorders>
            <w:vAlign w:val="center"/>
            <w:hideMark/>
          </w:tcPr>
          <w:p w14:paraId="154C8AC6" w14:textId="2BAA9C96" w:rsidR="002E690E" w:rsidRPr="00EB4C46" w:rsidRDefault="00A365CE">
            <w:pPr>
              <w:jc w:val="left"/>
              <w:rPr>
                <w:smallCaps/>
                <w:color w:val="000000"/>
                <w:sz w:val="16"/>
                <w:szCs w:val="16"/>
                <w:lang w:val="es-MX" w:eastAsia="es-MX"/>
              </w:rPr>
            </w:pPr>
            <w:proofErr w:type="spellStart"/>
            <w:r w:rsidRPr="00EB4C46">
              <w:rPr>
                <w:smallCaps/>
                <w:color w:val="000000"/>
                <w:sz w:val="16"/>
                <w:szCs w:val="16"/>
                <w:lang w:val="es-MX" w:eastAsia="es-MX"/>
              </w:rPr>
              <w:t>imss</w:t>
            </w:r>
            <w:proofErr w:type="spellEnd"/>
          </w:p>
        </w:tc>
        <w:tc>
          <w:tcPr>
            <w:tcW w:w="3380" w:type="dxa"/>
            <w:tcBorders>
              <w:top w:val="nil"/>
              <w:left w:val="single" w:sz="2" w:space="0" w:color="auto"/>
              <w:bottom w:val="nil"/>
              <w:right w:val="single" w:sz="2" w:space="0" w:color="auto"/>
            </w:tcBorders>
            <w:vAlign w:val="center"/>
            <w:hideMark/>
          </w:tcPr>
          <w:p w14:paraId="34748A8C" w14:textId="77777777" w:rsidR="002E690E" w:rsidRDefault="002E690E">
            <w:pPr>
              <w:jc w:val="left"/>
              <w:rPr>
                <w:color w:val="000000"/>
                <w:sz w:val="16"/>
                <w:szCs w:val="16"/>
                <w:lang w:val="es-MX" w:eastAsia="es-MX"/>
              </w:rPr>
            </w:pPr>
            <w:r>
              <w:rPr>
                <w:color w:val="000000"/>
                <w:sz w:val="16"/>
                <w:szCs w:val="16"/>
                <w:lang w:val="es-MX" w:eastAsia="es-MX"/>
              </w:rPr>
              <w:t>Asegurados permanentes y eventuales del Seguro Social</w:t>
            </w:r>
          </w:p>
        </w:tc>
        <w:tc>
          <w:tcPr>
            <w:tcW w:w="2960" w:type="dxa"/>
            <w:tcBorders>
              <w:top w:val="nil"/>
              <w:left w:val="single" w:sz="2" w:space="0" w:color="auto"/>
              <w:bottom w:val="nil"/>
              <w:right w:val="single" w:sz="2" w:space="0" w:color="auto"/>
            </w:tcBorders>
            <w:vAlign w:val="center"/>
            <w:hideMark/>
          </w:tcPr>
          <w:p w14:paraId="75F3F4AC" w14:textId="77777777" w:rsidR="002E690E" w:rsidRDefault="002E690E">
            <w:pPr>
              <w:jc w:val="left"/>
              <w:rPr>
                <w:color w:val="000000"/>
                <w:sz w:val="16"/>
                <w:szCs w:val="16"/>
                <w:lang w:val="es-MX" w:eastAsia="es-MX"/>
              </w:rPr>
            </w:pPr>
            <w:r>
              <w:rPr>
                <w:color w:val="000000"/>
                <w:sz w:val="16"/>
                <w:szCs w:val="16"/>
                <w:lang w:val="es-MX" w:eastAsia="es-MX"/>
              </w:rPr>
              <w:t>Instituto Mexicano del Seguro Social</w:t>
            </w:r>
          </w:p>
        </w:tc>
      </w:tr>
      <w:tr w:rsidR="002E690E" w14:paraId="3A95CE31" w14:textId="77777777" w:rsidTr="00B56A08">
        <w:trPr>
          <w:trHeight w:val="288"/>
          <w:jc w:val="center"/>
        </w:trPr>
        <w:tc>
          <w:tcPr>
            <w:tcW w:w="2840" w:type="dxa"/>
            <w:tcBorders>
              <w:top w:val="nil"/>
              <w:left w:val="single" w:sz="2" w:space="0" w:color="auto"/>
              <w:bottom w:val="nil"/>
              <w:right w:val="single" w:sz="2" w:space="0" w:color="auto"/>
            </w:tcBorders>
            <w:vAlign w:val="center"/>
            <w:hideMark/>
          </w:tcPr>
          <w:p w14:paraId="7CA33B71" w14:textId="55798637" w:rsidR="002E690E" w:rsidRPr="00EB4C46" w:rsidRDefault="00A365CE">
            <w:pPr>
              <w:jc w:val="left"/>
              <w:rPr>
                <w:smallCaps/>
                <w:color w:val="000000"/>
                <w:sz w:val="16"/>
                <w:szCs w:val="16"/>
                <w:lang w:val="es-MX" w:eastAsia="es-MX"/>
              </w:rPr>
            </w:pPr>
            <w:r w:rsidRPr="00EB4C46">
              <w:rPr>
                <w:smallCaps/>
                <w:color w:val="000000"/>
                <w:sz w:val="16"/>
                <w:szCs w:val="16"/>
                <w:lang w:val="es-MX" w:eastAsia="es-MX"/>
              </w:rPr>
              <w:t>inpc</w:t>
            </w:r>
          </w:p>
        </w:tc>
        <w:tc>
          <w:tcPr>
            <w:tcW w:w="3380" w:type="dxa"/>
            <w:tcBorders>
              <w:top w:val="nil"/>
              <w:left w:val="single" w:sz="2" w:space="0" w:color="auto"/>
              <w:bottom w:val="nil"/>
              <w:right w:val="single" w:sz="2" w:space="0" w:color="auto"/>
            </w:tcBorders>
            <w:vAlign w:val="center"/>
            <w:hideMark/>
          </w:tcPr>
          <w:p w14:paraId="1D2C4F7F" w14:textId="77777777" w:rsidR="002E690E" w:rsidRDefault="002E690E">
            <w:pPr>
              <w:jc w:val="left"/>
              <w:rPr>
                <w:color w:val="000000"/>
                <w:sz w:val="16"/>
                <w:szCs w:val="16"/>
                <w:lang w:val="es-MX" w:eastAsia="es-MX"/>
              </w:rPr>
            </w:pPr>
            <w:r>
              <w:rPr>
                <w:color w:val="000000"/>
                <w:sz w:val="16"/>
                <w:szCs w:val="16"/>
                <w:lang w:val="es-MX" w:eastAsia="es-MX"/>
              </w:rPr>
              <w:t>Índice Nacional de Precios al Consumidor</w:t>
            </w:r>
          </w:p>
        </w:tc>
        <w:tc>
          <w:tcPr>
            <w:tcW w:w="2960" w:type="dxa"/>
            <w:tcBorders>
              <w:top w:val="nil"/>
              <w:left w:val="single" w:sz="2" w:space="0" w:color="auto"/>
              <w:bottom w:val="nil"/>
              <w:right w:val="single" w:sz="2" w:space="0" w:color="auto"/>
            </w:tcBorders>
            <w:vAlign w:val="center"/>
            <w:hideMark/>
          </w:tcPr>
          <w:p w14:paraId="47F26EE9" w14:textId="032F4C2E" w:rsidR="002E690E" w:rsidRDefault="00A365CE">
            <w:pPr>
              <w:jc w:val="left"/>
              <w:rPr>
                <w:color w:val="000000"/>
                <w:sz w:val="16"/>
                <w:szCs w:val="16"/>
                <w:lang w:val="es-MX" w:eastAsia="es-MX"/>
              </w:rPr>
            </w:pPr>
            <w:r w:rsidRPr="00EB4C46">
              <w:rPr>
                <w:smallCaps/>
                <w:color w:val="000000"/>
                <w:sz w:val="16"/>
                <w:szCs w:val="16"/>
                <w:lang w:val="es-MX" w:eastAsia="es-MX"/>
              </w:rPr>
              <w:t>inegi</w:t>
            </w:r>
          </w:p>
        </w:tc>
      </w:tr>
      <w:tr w:rsidR="002E690E" w14:paraId="2F56B3FB" w14:textId="77777777" w:rsidTr="00B56A08">
        <w:trPr>
          <w:trHeight w:val="288"/>
          <w:jc w:val="center"/>
        </w:trPr>
        <w:tc>
          <w:tcPr>
            <w:tcW w:w="2840" w:type="dxa"/>
            <w:tcBorders>
              <w:top w:val="nil"/>
              <w:left w:val="single" w:sz="2" w:space="0" w:color="auto"/>
              <w:bottom w:val="nil"/>
              <w:right w:val="single" w:sz="2" w:space="0" w:color="auto"/>
            </w:tcBorders>
            <w:vAlign w:val="center"/>
            <w:hideMark/>
          </w:tcPr>
          <w:p w14:paraId="2013F6B5" w14:textId="77777777" w:rsidR="002E690E" w:rsidRDefault="002E690E">
            <w:pPr>
              <w:jc w:val="left"/>
              <w:rPr>
                <w:color w:val="000000"/>
                <w:sz w:val="16"/>
                <w:szCs w:val="16"/>
                <w:lang w:val="es-MX" w:eastAsia="es-MX"/>
              </w:rPr>
            </w:pPr>
            <w:r>
              <w:rPr>
                <w:color w:val="000000"/>
                <w:sz w:val="16"/>
                <w:szCs w:val="16"/>
                <w:lang w:val="es-MX" w:eastAsia="es-MX"/>
              </w:rPr>
              <w:t>M4</w:t>
            </w:r>
          </w:p>
        </w:tc>
        <w:tc>
          <w:tcPr>
            <w:tcW w:w="3380" w:type="dxa"/>
            <w:tcBorders>
              <w:top w:val="nil"/>
              <w:left w:val="single" w:sz="2" w:space="0" w:color="auto"/>
              <w:bottom w:val="nil"/>
              <w:right w:val="single" w:sz="2" w:space="0" w:color="auto"/>
            </w:tcBorders>
            <w:vAlign w:val="center"/>
            <w:hideMark/>
          </w:tcPr>
          <w:p w14:paraId="38EC4D7A" w14:textId="77777777" w:rsidR="002E690E" w:rsidRDefault="002E690E">
            <w:pPr>
              <w:jc w:val="left"/>
              <w:rPr>
                <w:color w:val="000000"/>
                <w:sz w:val="16"/>
                <w:szCs w:val="16"/>
                <w:lang w:val="es-MX" w:eastAsia="es-MX"/>
              </w:rPr>
            </w:pPr>
            <w:r>
              <w:rPr>
                <w:color w:val="000000"/>
                <w:sz w:val="16"/>
                <w:szCs w:val="16"/>
                <w:lang w:val="es-MX" w:eastAsia="es-MX"/>
              </w:rPr>
              <w:t>Agregado monetario M4</w:t>
            </w:r>
          </w:p>
        </w:tc>
        <w:tc>
          <w:tcPr>
            <w:tcW w:w="2960" w:type="dxa"/>
            <w:tcBorders>
              <w:top w:val="nil"/>
              <w:left w:val="single" w:sz="2" w:space="0" w:color="auto"/>
              <w:bottom w:val="nil"/>
              <w:right w:val="single" w:sz="2" w:space="0" w:color="auto"/>
            </w:tcBorders>
            <w:vAlign w:val="center"/>
            <w:hideMark/>
          </w:tcPr>
          <w:p w14:paraId="5C652559" w14:textId="5D781631" w:rsidR="002E690E" w:rsidRDefault="001A4594">
            <w:pPr>
              <w:jc w:val="left"/>
              <w:rPr>
                <w:color w:val="000000"/>
                <w:sz w:val="16"/>
                <w:szCs w:val="16"/>
                <w:lang w:val="es-MX" w:eastAsia="es-MX"/>
              </w:rPr>
            </w:pPr>
            <w:r w:rsidRPr="001A4594">
              <w:rPr>
                <w:smallCaps/>
                <w:color w:val="000000"/>
                <w:sz w:val="16"/>
                <w:szCs w:val="16"/>
                <w:lang w:val="es-MX" w:eastAsia="es-MX"/>
              </w:rPr>
              <w:t>banxico</w:t>
            </w:r>
          </w:p>
        </w:tc>
      </w:tr>
      <w:tr w:rsidR="002E690E" w14:paraId="792B113E" w14:textId="77777777" w:rsidTr="00B56A08">
        <w:trPr>
          <w:trHeight w:val="408"/>
          <w:jc w:val="center"/>
        </w:trPr>
        <w:tc>
          <w:tcPr>
            <w:tcW w:w="2840" w:type="dxa"/>
            <w:tcBorders>
              <w:top w:val="nil"/>
              <w:left w:val="single" w:sz="2" w:space="0" w:color="auto"/>
              <w:bottom w:val="nil"/>
              <w:right w:val="single" w:sz="2" w:space="0" w:color="auto"/>
            </w:tcBorders>
            <w:vAlign w:val="center"/>
            <w:hideMark/>
          </w:tcPr>
          <w:p w14:paraId="03171442" w14:textId="77777777" w:rsidR="002E690E" w:rsidRDefault="002E690E">
            <w:pPr>
              <w:jc w:val="left"/>
              <w:rPr>
                <w:color w:val="000000"/>
                <w:sz w:val="16"/>
                <w:szCs w:val="16"/>
                <w:lang w:val="es-MX" w:eastAsia="es-MX"/>
              </w:rPr>
            </w:pPr>
            <w:r>
              <w:rPr>
                <w:color w:val="000000"/>
                <w:sz w:val="16"/>
                <w:szCs w:val="16"/>
                <w:lang w:val="es-MX" w:eastAsia="es-MX"/>
              </w:rPr>
              <w:t>Ocupación hotelera</w:t>
            </w:r>
          </w:p>
        </w:tc>
        <w:tc>
          <w:tcPr>
            <w:tcW w:w="3380" w:type="dxa"/>
            <w:tcBorders>
              <w:top w:val="nil"/>
              <w:left w:val="single" w:sz="2" w:space="0" w:color="auto"/>
              <w:bottom w:val="nil"/>
              <w:right w:val="single" w:sz="2" w:space="0" w:color="auto"/>
            </w:tcBorders>
            <w:vAlign w:val="center"/>
            <w:hideMark/>
          </w:tcPr>
          <w:p w14:paraId="2770EC63" w14:textId="77777777" w:rsidR="002E690E" w:rsidRDefault="002E690E">
            <w:pPr>
              <w:jc w:val="left"/>
              <w:rPr>
                <w:color w:val="000000"/>
                <w:sz w:val="16"/>
                <w:szCs w:val="16"/>
                <w:lang w:val="es-MX" w:eastAsia="es-MX"/>
              </w:rPr>
            </w:pPr>
            <w:r>
              <w:rPr>
                <w:color w:val="000000"/>
                <w:sz w:val="16"/>
                <w:szCs w:val="16"/>
                <w:lang w:val="es-MX" w:eastAsia="es-MX"/>
              </w:rPr>
              <w:t>Ocupación hotelera en corredores y agrupamientos</w:t>
            </w:r>
          </w:p>
        </w:tc>
        <w:tc>
          <w:tcPr>
            <w:tcW w:w="2960" w:type="dxa"/>
            <w:tcBorders>
              <w:top w:val="nil"/>
              <w:left w:val="single" w:sz="2" w:space="0" w:color="auto"/>
              <w:bottom w:val="nil"/>
              <w:right w:val="single" w:sz="2" w:space="0" w:color="auto"/>
            </w:tcBorders>
            <w:vAlign w:val="center"/>
            <w:hideMark/>
          </w:tcPr>
          <w:p w14:paraId="32296597" w14:textId="77777777" w:rsidR="002E690E" w:rsidRDefault="002E690E">
            <w:pPr>
              <w:jc w:val="left"/>
              <w:rPr>
                <w:color w:val="000000"/>
                <w:sz w:val="16"/>
                <w:szCs w:val="16"/>
                <w:lang w:val="es-MX" w:eastAsia="es-MX"/>
              </w:rPr>
            </w:pPr>
            <w:r>
              <w:rPr>
                <w:color w:val="000000"/>
                <w:sz w:val="16"/>
                <w:szCs w:val="16"/>
                <w:lang w:val="es-MX" w:eastAsia="es-MX"/>
              </w:rPr>
              <w:t>Secretaría de Turismo</w:t>
            </w:r>
          </w:p>
        </w:tc>
      </w:tr>
      <w:tr w:rsidR="002E690E" w14:paraId="34E509A8" w14:textId="77777777" w:rsidTr="00B56A08">
        <w:trPr>
          <w:trHeight w:val="288"/>
          <w:jc w:val="center"/>
        </w:trPr>
        <w:tc>
          <w:tcPr>
            <w:tcW w:w="2840" w:type="dxa"/>
            <w:tcBorders>
              <w:top w:val="nil"/>
              <w:left w:val="single" w:sz="2" w:space="0" w:color="auto"/>
              <w:bottom w:val="nil"/>
              <w:right w:val="single" w:sz="2" w:space="0" w:color="auto"/>
            </w:tcBorders>
            <w:vAlign w:val="center"/>
            <w:hideMark/>
          </w:tcPr>
          <w:p w14:paraId="04416AFE" w14:textId="77777777" w:rsidR="002E690E" w:rsidRDefault="002E690E">
            <w:pPr>
              <w:jc w:val="left"/>
              <w:rPr>
                <w:color w:val="000000"/>
                <w:sz w:val="16"/>
                <w:szCs w:val="16"/>
                <w:lang w:val="es-MX" w:eastAsia="es-MX"/>
              </w:rPr>
            </w:pPr>
            <w:r>
              <w:rPr>
                <w:color w:val="000000"/>
                <w:sz w:val="16"/>
                <w:szCs w:val="16"/>
                <w:lang w:val="es-MX" w:eastAsia="es-MX"/>
              </w:rPr>
              <w:t>Pedidos manufactureros</w:t>
            </w:r>
          </w:p>
        </w:tc>
        <w:tc>
          <w:tcPr>
            <w:tcW w:w="3380" w:type="dxa"/>
            <w:tcBorders>
              <w:top w:val="nil"/>
              <w:left w:val="single" w:sz="2" w:space="0" w:color="auto"/>
              <w:bottom w:val="nil"/>
              <w:right w:val="single" w:sz="2" w:space="0" w:color="auto"/>
            </w:tcBorders>
            <w:vAlign w:val="center"/>
            <w:hideMark/>
          </w:tcPr>
          <w:p w14:paraId="5CB2424D" w14:textId="77777777" w:rsidR="002E690E" w:rsidRDefault="002E690E">
            <w:pPr>
              <w:jc w:val="left"/>
              <w:rPr>
                <w:color w:val="000000"/>
                <w:sz w:val="16"/>
                <w:szCs w:val="16"/>
                <w:lang w:val="es-MX" w:eastAsia="es-MX"/>
              </w:rPr>
            </w:pPr>
            <w:r>
              <w:rPr>
                <w:color w:val="000000"/>
                <w:sz w:val="16"/>
                <w:szCs w:val="16"/>
                <w:lang w:val="es-MX" w:eastAsia="es-MX"/>
              </w:rPr>
              <w:t>Indicador de pedidos manufactureros</w:t>
            </w:r>
          </w:p>
        </w:tc>
        <w:tc>
          <w:tcPr>
            <w:tcW w:w="2960" w:type="dxa"/>
            <w:tcBorders>
              <w:top w:val="nil"/>
              <w:left w:val="single" w:sz="2" w:space="0" w:color="auto"/>
              <w:bottom w:val="nil"/>
              <w:right w:val="single" w:sz="2" w:space="0" w:color="auto"/>
            </w:tcBorders>
            <w:vAlign w:val="center"/>
            <w:hideMark/>
          </w:tcPr>
          <w:p w14:paraId="3DA66E5F" w14:textId="2138638F" w:rsidR="002E690E" w:rsidRPr="00EB4C46" w:rsidRDefault="00A365CE">
            <w:pPr>
              <w:jc w:val="left"/>
              <w:rPr>
                <w:smallCaps/>
                <w:color w:val="000000"/>
                <w:sz w:val="16"/>
                <w:szCs w:val="16"/>
                <w:lang w:val="es-MX" w:eastAsia="es-MX"/>
              </w:rPr>
            </w:pPr>
            <w:r w:rsidRPr="00EB4C46">
              <w:rPr>
                <w:smallCaps/>
                <w:color w:val="000000"/>
                <w:sz w:val="16"/>
                <w:szCs w:val="16"/>
                <w:lang w:val="es-MX" w:eastAsia="es-MX"/>
              </w:rPr>
              <w:t>inegi</w:t>
            </w:r>
          </w:p>
        </w:tc>
      </w:tr>
      <w:tr w:rsidR="002E690E" w14:paraId="30ED50E4" w14:textId="77777777" w:rsidTr="00B56A08">
        <w:trPr>
          <w:trHeight w:val="288"/>
          <w:jc w:val="center"/>
        </w:trPr>
        <w:tc>
          <w:tcPr>
            <w:tcW w:w="2840" w:type="dxa"/>
            <w:tcBorders>
              <w:top w:val="nil"/>
              <w:left w:val="single" w:sz="2" w:space="0" w:color="auto"/>
              <w:bottom w:val="nil"/>
              <w:right w:val="single" w:sz="2" w:space="0" w:color="auto"/>
            </w:tcBorders>
            <w:vAlign w:val="center"/>
            <w:hideMark/>
          </w:tcPr>
          <w:p w14:paraId="51B02F06" w14:textId="6BD7FC06" w:rsidR="002E690E" w:rsidRDefault="00A365CE">
            <w:pPr>
              <w:jc w:val="left"/>
              <w:rPr>
                <w:color w:val="000000"/>
                <w:sz w:val="16"/>
                <w:szCs w:val="16"/>
                <w:lang w:val="es-MX" w:eastAsia="es-MX"/>
              </w:rPr>
            </w:pPr>
            <w:proofErr w:type="spellStart"/>
            <w:r w:rsidRPr="00EB4C46">
              <w:rPr>
                <w:smallCaps/>
                <w:color w:val="000000"/>
                <w:sz w:val="16"/>
                <w:szCs w:val="16"/>
                <w:lang w:val="es-MX" w:eastAsia="es-MX"/>
              </w:rPr>
              <w:t>pibo</w:t>
            </w:r>
            <w:proofErr w:type="spellEnd"/>
          </w:p>
        </w:tc>
        <w:tc>
          <w:tcPr>
            <w:tcW w:w="3380" w:type="dxa"/>
            <w:tcBorders>
              <w:top w:val="nil"/>
              <w:left w:val="single" w:sz="2" w:space="0" w:color="auto"/>
              <w:bottom w:val="nil"/>
              <w:right w:val="single" w:sz="2" w:space="0" w:color="auto"/>
            </w:tcBorders>
            <w:vAlign w:val="center"/>
            <w:hideMark/>
          </w:tcPr>
          <w:p w14:paraId="6F08CD79" w14:textId="620F135B" w:rsidR="002E690E" w:rsidRDefault="002E690E">
            <w:pPr>
              <w:jc w:val="left"/>
              <w:rPr>
                <w:color w:val="000000"/>
                <w:sz w:val="16"/>
                <w:szCs w:val="16"/>
                <w:lang w:val="es-MX" w:eastAsia="es-MX"/>
              </w:rPr>
            </w:pPr>
            <w:r>
              <w:rPr>
                <w:color w:val="000000"/>
                <w:sz w:val="16"/>
                <w:szCs w:val="16"/>
                <w:lang w:val="es-MX" w:eastAsia="es-MX"/>
              </w:rPr>
              <w:t xml:space="preserve">Estimación del </w:t>
            </w:r>
            <w:r w:rsidR="00A365CE" w:rsidRPr="00EB4C46">
              <w:rPr>
                <w:smallCaps/>
                <w:color w:val="000000"/>
                <w:sz w:val="16"/>
                <w:szCs w:val="16"/>
                <w:lang w:val="es-MX" w:eastAsia="es-MX"/>
              </w:rPr>
              <w:t>pib</w:t>
            </w:r>
            <w:r w:rsidR="00A365CE">
              <w:rPr>
                <w:color w:val="000000"/>
                <w:sz w:val="16"/>
                <w:szCs w:val="16"/>
                <w:lang w:val="es-MX" w:eastAsia="es-MX"/>
              </w:rPr>
              <w:t xml:space="preserve"> </w:t>
            </w:r>
            <w:r>
              <w:rPr>
                <w:color w:val="000000"/>
                <w:sz w:val="16"/>
                <w:szCs w:val="16"/>
                <w:lang w:val="es-MX" w:eastAsia="es-MX"/>
              </w:rPr>
              <w:t>oportuno, mensualizada</w:t>
            </w:r>
          </w:p>
        </w:tc>
        <w:tc>
          <w:tcPr>
            <w:tcW w:w="2960" w:type="dxa"/>
            <w:tcBorders>
              <w:top w:val="nil"/>
              <w:left w:val="single" w:sz="2" w:space="0" w:color="auto"/>
              <w:bottom w:val="nil"/>
              <w:right w:val="single" w:sz="2" w:space="0" w:color="auto"/>
            </w:tcBorders>
            <w:vAlign w:val="center"/>
            <w:hideMark/>
          </w:tcPr>
          <w:p w14:paraId="3FBF820F" w14:textId="1DBCBD21" w:rsidR="002E690E" w:rsidRPr="00EB4C46" w:rsidRDefault="00A365CE">
            <w:pPr>
              <w:jc w:val="left"/>
              <w:rPr>
                <w:smallCaps/>
                <w:color w:val="000000"/>
                <w:sz w:val="16"/>
                <w:szCs w:val="16"/>
                <w:lang w:val="es-MX" w:eastAsia="es-MX"/>
              </w:rPr>
            </w:pPr>
            <w:r w:rsidRPr="00EB4C46">
              <w:rPr>
                <w:smallCaps/>
                <w:color w:val="000000"/>
                <w:sz w:val="16"/>
                <w:szCs w:val="16"/>
                <w:lang w:val="es-MX" w:eastAsia="es-MX"/>
              </w:rPr>
              <w:t>inegi</w:t>
            </w:r>
          </w:p>
        </w:tc>
      </w:tr>
      <w:tr w:rsidR="002E690E" w14:paraId="38BD284E" w14:textId="77777777" w:rsidTr="00B56A08">
        <w:trPr>
          <w:trHeight w:val="288"/>
          <w:jc w:val="center"/>
        </w:trPr>
        <w:tc>
          <w:tcPr>
            <w:tcW w:w="2840" w:type="dxa"/>
            <w:tcBorders>
              <w:top w:val="nil"/>
              <w:left w:val="single" w:sz="2" w:space="0" w:color="auto"/>
              <w:right w:val="single" w:sz="2" w:space="0" w:color="auto"/>
            </w:tcBorders>
            <w:vAlign w:val="center"/>
            <w:hideMark/>
          </w:tcPr>
          <w:p w14:paraId="1B4513B2" w14:textId="77777777" w:rsidR="002E690E" w:rsidRDefault="002E690E">
            <w:pPr>
              <w:jc w:val="left"/>
              <w:rPr>
                <w:color w:val="000000"/>
                <w:sz w:val="16"/>
                <w:szCs w:val="16"/>
                <w:lang w:val="es-MX" w:eastAsia="es-MX"/>
              </w:rPr>
            </w:pPr>
            <w:r>
              <w:rPr>
                <w:color w:val="000000"/>
                <w:sz w:val="16"/>
                <w:szCs w:val="16"/>
                <w:lang w:val="es-MX" w:eastAsia="es-MX"/>
              </w:rPr>
              <w:t>Precio del petróleo</w:t>
            </w:r>
          </w:p>
        </w:tc>
        <w:tc>
          <w:tcPr>
            <w:tcW w:w="3380" w:type="dxa"/>
            <w:tcBorders>
              <w:top w:val="nil"/>
              <w:left w:val="single" w:sz="2" w:space="0" w:color="auto"/>
              <w:right w:val="single" w:sz="2" w:space="0" w:color="auto"/>
            </w:tcBorders>
            <w:vAlign w:val="center"/>
            <w:hideMark/>
          </w:tcPr>
          <w:p w14:paraId="44115779" w14:textId="77777777" w:rsidR="002E690E" w:rsidRDefault="002E690E">
            <w:pPr>
              <w:jc w:val="left"/>
              <w:rPr>
                <w:color w:val="000000"/>
                <w:sz w:val="16"/>
                <w:szCs w:val="16"/>
                <w:lang w:val="es-MX" w:eastAsia="es-MX"/>
              </w:rPr>
            </w:pPr>
            <w:r>
              <w:rPr>
                <w:color w:val="000000"/>
                <w:sz w:val="16"/>
                <w:szCs w:val="16"/>
                <w:lang w:val="es-MX" w:eastAsia="es-MX"/>
              </w:rPr>
              <w:t>Precio de la mezcla mexicana de petróleo</w:t>
            </w:r>
          </w:p>
        </w:tc>
        <w:tc>
          <w:tcPr>
            <w:tcW w:w="2960" w:type="dxa"/>
            <w:tcBorders>
              <w:top w:val="nil"/>
              <w:left w:val="single" w:sz="2" w:space="0" w:color="auto"/>
              <w:right w:val="single" w:sz="2" w:space="0" w:color="auto"/>
            </w:tcBorders>
            <w:vAlign w:val="center"/>
            <w:hideMark/>
          </w:tcPr>
          <w:p w14:paraId="6855A58E" w14:textId="68BDFBED" w:rsidR="002E690E" w:rsidRDefault="001A4594">
            <w:pPr>
              <w:jc w:val="left"/>
              <w:rPr>
                <w:color w:val="000000"/>
                <w:sz w:val="16"/>
                <w:szCs w:val="16"/>
                <w:lang w:val="es-MX" w:eastAsia="es-MX"/>
              </w:rPr>
            </w:pPr>
            <w:r w:rsidRPr="001A4594">
              <w:rPr>
                <w:smallCaps/>
                <w:color w:val="000000"/>
                <w:sz w:val="16"/>
                <w:szCs w:val="16"/>
                <w:lang w:val="es-MX" w:eastAsia="es-MX"/>
              </w:rPr>
              <w:t>banxico</w:t>
            </w:r>
          </w:p>
        </w:tc>
      </w:tr>
      <w:tr w:rsidR="002E690E" w14:paraId="50AFDC6F" w14:textId="77777777" w:rsidTr="00B56A08">
        <w:trPr>
          <w:trHeight w:val="288"/>
          <w:jc w:val="center"/>
        </w:trPr>
        <w:tc>
          <w:tcPr>
            <w:tcW w:w="2840" w:type="dxa"/>
            <w:tcBorders>
              <w:top w:val="nil"/>
              <w:left w:val="single" w:sz="2" w:space="0" w:color="auto"/>
              <w:right w:val="single" w:sz="2" w:space="0" w:color="auto"/>
            </w:tcBorders>
            <w:vAlign w:val="center"/>
            <w:hideMark/>
          </w:tcPr>
          <w:p w14:paraId="4BC00B82" w14:textId="77777777" w:rsidR="002E690E" w:rsidRDefault="002E690E">
            <w:pPr>
              <w:jc w:val="left"/>
              <w:rPr>
                <w:color w:val="000000"/>
                <w:sz w:val="16"/>
                <w:szCs w:val="16"/>
                <w:lang w:val="es-MX" w:eastAsia="es-MX"/>
              </w:rPr>
            </w:pPr>
            <w:r>
              <w:rPr>
                <w:color w:val="000000"/>
                <w:sz w:val="16"/>
                <w:szCs w:val="16"/>
                <w:lang w:val="es-MX" w:eastAsia="es-MX"/>
              </w:rPr>
              <w:t>Producción de vehículos</w:t>
            </w:r>
          </w:p>
        </w:tc>
        <w:tc>
          <w:tcPr>
            <w:tcW w:w="3380" w:type="dxa"/>
            <w:tcBorders>
              <w:top w:val="nil"/>
              <w:left w:val="single" w:sz="2" w:space="0" w:color="auto"/>
              <w:right w:val="single" w:sz="2" w:space="0" w:color="auto"/>
            </w:tcBorders>
            <w:vAlign w:val="center"/>
            <w:hideMark/>
          </w:tcPr>
          <w:p w14:paraId="21864588" w14:textId="77777777" w:rsidR="002E690E" w:rsidRDefault="002E690E">
            <w:pPr>
              <w:jc w:val="left"/>
              <w:rPr>
                <w:color w:val="000000"/>
                <w:sz w:val="16"/>
                <w:szCs w:val="16"/>
                <w:lang w:val="es-MX" w:eastAsia="es-MX"/>
              </w:rPr>
            </w:pPr>
            <w:r>
              <w:rPr>
                <w:color w:val="000000"/>
                <w:sz w:val="16"/>
                <w:szCs w:val="16"/>
                <w:lang w:val="es-MX" w:eastAsia="es-MX"/>
              </w:rPr>
              <w:t>Producción de vehículos automotores</w:t>
            </w:r>
          </w:p>
        </w:tc>
        <w:tc>
          <w:tcPr>
            <w:tcW w:w="2960" w:type="dxa"/>
            <w:tcBorders>
              <w:top w:val="nil"/>
              <w:left w:val="single" w:sz="2" w:space="0" w:color="auto"/>
              <w:right w:val="single" w:sz="2" w:space="0" w:color="auto"/>
            </w:tcBorders>
            <w:vAlign w:val="center"/>
            <w:hideMark/>
          </w:tcPr>
          <w:p w14:paraId="37263AF0" w14:textId="6962F46C" w:rsidR="002E690E" w:rsidRPr="00EB4C46" w:rsidRDefault="00A365CE">
            <w:pPr>
              <w:jc w:val="left"/>
              <w:rPr>
                <w:smallCaps/>
                <w:color w:val="000000"/>
                <w:sz w:val="16"/>
                <w:szCs w:val="16"/>
                <w:lang w:val="es-MX" w:eastAsia="es-MX"/>
              </w:rPr>
            </w:pPr>
            <w:r w:rsidRPr="00EB4C46">
              <w:rPr>
                <w:smallCaps/>
                <w:color w:val="000000"/>
                <w:sz w:val="16"/>
                <w:szCs w:val="16"/>
                <w:lang w:val="es-MX" w:eastAsia="es-MX"/>
              </w:rPr>
              <w:t>inegi</w:t>
            </w:r>
          </w:p>
        </w:tc>
      </w:tr>
      <w:tr w:rsidR="002E690E" w14:paraId="095A6FF2" w14:textId="77777777" w:rsidTr="00B56A08">
        <w:trPr>
          <w:trHeight w:val="288"/>
          <w:jc w:val="center"/>
        </w:trPr>
        <w:tc>
          <w:tcPr>
            <w:tcW w:w="2840" w:type="dxa"/>
            <w:tcBorders>
              <w:left w:val="single" w:sz="2" w:space="0" w:color="auto"/>
              <w:bottom w:val="nil"/>
              <w:right w:val="single" w:sz="2" w:space="0" w:color="auto"/>
            </w:tcBorders>
            <w:vAlign w:val="center"/>
            <w:hideMark/>
          </w:tcPr>
          <w:p w14:paraId="05A86099" w14:textId="77777777" w:rsidR="002E690E" w:rsidRDefault="002E690E">
            <w:pPr>
              <w:jc w:val="left"/>
              <w:rPr>
                <w:color w:val="000000"/>
                <w:sz w:val="16"/>
                <w:szCs w:val="16"/>
                <w:lang w:val="es-MX" w:eastAsia="es-MX"/>
              </w:rPr>
            </w:pPr>
            <w:r>
              <w:rPr>
                <w:color w:val="000000"/>
                <w:sz w:val="16"/>
                <w:szCs w:val="16"/>
                <w:lang w:val="es-MX" w:eastAsia="es-MX"/>
              </w:rPr>
              <w:t>Producción industrial</w:t>
            </w:r>
          </w:p>
        </w:tc>
        <w:tc>
          <w:tcPr>
            <w:tcW w:w="3380" w:type="dxa"/>
            <w:tcBorders>
              <w:left w:val="single" w:sz="2" w:space="0" w:color="auto"/>
              <w:bottom w:val="nil"/>
              <w:right w:val="single" w:sz="2" w:space="0" w:color="auto"/>
            </w:tcBorders>
            <w:vAlign w:val="center"/>
            <w:hideMark/>
          </w:tcPr>
          <w:p w14:paraId="278E91FE" w14:textId="77777777" w:rsidR="002E690E" w:rsidRDefault="002E690E">
            <w:pPr>
              <w:jc w:val="left"/>
              <w:rPr>
                <w:color w:val="000000"/>
                <w:sz w:val="16"/>
                <w:szCs w:val="16"/>
                <w:lang w:val="es-MX" w:eastAsia="es-MX"/>
              </w:rPr>
            </w:pPr>
            <w:r>
              <w:rPr>
                <w:color w:val="000000"/>
                <w:sz w:val="16"/>
                <w:szCs w:val="16"/>
                <w:lang w:val="es-MX" w:eastAsia="es-MX"/>
              </w:rPr>
              <w:t>Índice de producción industrial</w:t>
            </w:r>
          </w:p>
        </w:tc>
        <w:tc>
          <w:tcPr>
            <w:tcW w:w="2960" w:type="dxa"/>
            <w:tcBorders>
              <w:left w:val="single" w:sz="2" w:space="0" w:color="auto"/>
              <w:bottom w:val="nil"/>
              <w:right w:val="single" w:sz="2" w:space="0" w:color="auto"/>
            </w:tcBorders>
            <w:vAlign w:val="center"/>
            <w:hideMark/>
          </w:tcPr>
          <w:p w14:paraId="238390E5" w14:textId="213F901B" w:rsidR="002E690E" w:rsidRPr="00EB4C46" w:rsidRDefault="00A365CE">
            <w:pPr>
              <w:jc w:val="left"/>
              <w:rPr>
                <w:smallCaps/>
                <w:color w:val="000000"/>
                <w:sz w:val="16"/>
                <w:szCs w:val="16"/>
                <w:lang w:val="es-MX" w:eastAsia="es-MX"/>
              </w:rPr>
            </w:pPr>
            <w:r w:rsidRPr="00EB4C46">
              <w:rPr>
                <w:smallCaps/>
                <w:color w:val="000000"/>
                <w:sz w:val="16"/>
                <w:szCs w:val="16"/>
                <w:lang w:val="es-MX" w:eastAsia="es-MX"/>
              </w:rPr>
              <w:t>inegi</w:t>
            </w:r>
          </w:p>
        </w:tc>
      </w:tr>
      <w:tr w:rsidR="002E690E" w:rsidRPr="00895E7B" w14:paraId="7AB9557C" w14:textId="77777777" w:rsidTr="00B56A08">
        <w:trPr>
          <w:trHeight w:val="408"/>
          <w:jc w:val="center"/>
        </w:trPr>
        <w:tc>
          <w:tcPr>
            <w:tcW w:w="2840" w:type="dxa"/>
            <w:tcBorders>
              <w:top w:val="nil"/>
              <w:left w:val="single" w:sz="2" w:space="0" w:color="auto"/>
              <w:bottom w:val="nil"/>
              <w:right w:val="single" w:sz="2" w:space="0" w:color="auto"/>
            </w:tcBorders>
            <w:vAlign w:val="center"/>
            <w:hideMark/>
          </w:tcPr>
          <w:p w14:paraId="6D8546B7" w14:textId="246DA19F" w:rsidR="002E690E" w:rsidRDefault="002E690E">
            <w:pPr>
              <w:jc w:val="left"/>
              <w:rPr>
                <w:color w:val="000000"/>
                <w:sz w:val="16"/>
                <w:szCs w:val="16"/>
                <w:lang w:val="es-MX" w:eastAsia="es-MX"/>
              </w:rPr>
            </w:pPr>
            <w:r>
              <w:rPr>
                <w:color w:val="000000"/>
                <w:sz w:val="16"/>
                <w:szCs w:val="16"/>
                <w:lang w:val="es-MX" w:eastAsia="es-MX"/>
              </w:rPr>
              <w:t>Producción industrial-</w:t>
            </w:r>
            <w:proofErr w:type="spellStart"/>
            <w:r w:rsidR="00A365CE" w:rsidRPr="00EB4C46">
              <w:rPr>
                <w:smallCaps/>
                <w:color w:val="000000"/>
                <w:sz w:val="16"/>
                <w:szCs w:val="16"/>
                <w:lang w:val="es-MX" w:eastAsia="es-MX"/>
              </w:rPr>
              <w:t>eua</w:t>
            </w:r>
            <w:proofErr w:type="spellEnd"/>
          </w:p>
        </w:tc>
        <w:tc>
          <w:tcPr>
            <w:tcW w:w="3380" w:type="dxa"/>
            <w:tcBorders>
              <w:top w:val="nil"/>
              <w:left w:val="single" w:sz="2" w:space="0" w:color="auto"/>
              <w:bottom w:val="nil"/>
              <w:right w:val="single" w:sz="2" w:space="0" w:color="auto"/>
            </w:tcBorders>
            <w:vAlign w:val="center"/>
            <w:hideMark/>
          </w:tcPr>
          <w:p w14:paraId="2CF6D657" w14:textId="77777777" w:rsidR="002E690E" w:rsidRDefault="002E690E">
            <w:pPr>
              <w:jc w:val="left"/>
              <w:rPr>
                <w:color w:val="000000"/>
                <w:sz w:val="16"/>
                <w:szCs w:val="16"/>
                <w:lang w:val="es-MX" w:eastAsia="es-MX"/>
              </w:rPr>
            </w:pPr>
            <w:r>
              <w:rPr>
                <w:color w:val="000000"/>
                <w:sz w:val="16"/>
                <w:szCs w:val="16"/>
                <w:lang w:val="es-MX" w:eastAsia="es-MX"/>
              </w:rPr>
              <w:t>Índice de producción industrial de los Estados Unidos</w:t>
            </w:r>
          </w:p>
        </w:tc>
        <w:tc>
          <w:tcPr>
            <w:tcW w:w="2960" w:type="dxa"/>
            <w:tcBorders>
              <w:top w:val="nil"/>
              <w:left w:val="single" w:sz="2" w:space="0" w:color="auto"/>
              <w:bottom w:val="nil"/>
              <w:right w:val="single" w:sz="2" w:space="0" w:color="auto"/>
            </w:tcBorders>
            <w:vAlign w:val="center"/>
            <w:hideMark/>
          </w:tcPr>
          <w:p w14:paraId="148984D3" w14:textId="1660D206" w:rsidR="002E690E" w:rsidRPr="009B495D" w:rsidRDefault="002E690E">
            <w:pPr>
              <w:jc w:val="left"/>
              <w:rPr>
                <w:color w:val="000000"/>
                <w:sz w:val="16"/>
                <w:szCs w:val="16"/>
                <w:lang w:val="en-US" w:eastAsia="es-MX"/>
              </w:rPr>
            </w:pPr>
            <w:r w:rsidRPr="009B495D">
              <w:rPr>
                <w:color w:val="000000"/>
                <w:sz w:val="16"/>
                <w:szCs w:val="16"/>
                <w:lang w:val="en-US" w:eastAsia="es-MX"/>
              </w:rPr>
              <w:t xml:space="preserve">Bureau of Economic Analysis </w:t>
            </w:r>
            <w:r w:rsidR="001A4594" w:rsidRPr="009B495D">
              <w:rPr>
                <w:color w:val="000000"/>
                <w:sz w:val="16"/>
                <w:szCs w:val="16"/>
                <w:lang w:val="en-US" w:eastAsia="es-MX"/>
              </w:rPr>
              <w:t>(</w:t>
            </w:r>
            <w:proofErr w:type="spellStart"/>
            <w:r w:rsidR="001A4594" w:rsidRPr="009B495D">
              <w:rPr>
                <w:smallCaps/>
                <w:color w:val="000000"/>
                <w:sz w:val="16"/>
                <w:szCs w:val="16"/>
                <w:lang w:val="en-US" w:eastAsia="es-MX"/>
              </w:rPr>
              <w:t>bea</w:t>
            </w:r>
            <w:proofErr w:type="spellEnd"/>
            <w:r w:rsidR="001A4594" w:rsidRPr="009B495D">
              <w:rPr>
                <w:color w:val="000000"/>
                <w:sz w:val="16"/>
                <w:szCs w:val="16"/>
                <w:lang w:val="en-US" w:eastAsia="es-MX"/>
              </w:rPr>
              <w:t>)</w:t>
            </w:r>
          </w:p>
        </w:tc>
      </w:tr>
      <w:tr w:rsidR="002E690E" w14:paraId="0680B72E" w14:textId="77777777" w:rsidTr="00B56A08">
        <w:trPr>
          <w:trHeight w:val="408"/>
          <w:jc w:val="center"/>
        </w:trPr>
        <w:tc>
          <w:tcPr>
            <w:tcW w:w="2840" w:type="dxa"/>
            <w:tcBorders>
              <w:top w:val="nil"/>
              <w:left w:val="single" w:sz="2" w:space="0" w:color="auto"/>
              <w:right w:val="single" w:sz="2" w:space="0" w:color="auto"/>
            </w:tcBorders>
            <w:vAlign w:val="center"/>
            <w:hideMark/>
          </w:tcPr>
          <w:p w14:paraId="33117726" w14:textId="64A6568F" w:rsidR="002E690E" w:rsidRDefault="002E690E">
            <w:pPr>
              <w:jc w:val="left"/>
              <w:rPr>
                <w:color w:val="000000"/>
                <w:sz w:val="16"/>
                <w:szCs w:val="16"/>
                <w:lang w:val="es-MX" w:eastAsia="es-MX"/>
              </w:rPr>
            </w:pPr>
            <w:r>
              <w:rPr>
                <w:color w:val="000000"/>
                <w:sz w:val="16"/>
                <w:szCs w:val="16"/>
                <w:lang w:val="es-MX" w:eastAsia="es-MX"/>
              </w:rPr>
              <w:t>Producción manufacturera-</w:t>
            </w:r>
            <w:proofErr w:type="spellStart"/>
            <w:r w:rsidR="00A365CE" w:rsidRPr="00EB4C46">
              <w:rPr>
                <w:smallCaps/>
                <w:color w:val="000000"/>
                <w:sz w:val="16"/>
                <w:szCs w:val="16"/>
                <w:lang w:val="es-MX" w:eastAsia="es-MX"/>
              </w:rPr>
              <w:t>eua</w:t>
            </w:r>
            <w:proofErr w:type="spellEnd"/>
          </w:p>
        </w:tc>
        <w:tc>
          <w:tcPr>
            <w:tcW w:w="3380" w:type="dxa"/>
            <w:tcBorders>
              <w:top w:val="nil"/>
              <w:left w:val="single" w:sz="2" w:space="0" w:color="auto"/>
              <w:right w:val="single" w:sz="2" w:space="0" w:color="auto"/>
            </w:tcBorders>
            <w:vAlign w:val="center"/>
            <w:hideMark/>
          </w:tcPr>
          <w:p w14:paraId="4014C572" w14:textId="77777777" w:rsidR="002E690E" w:rsidRDefault="002E690E">
            <w:pPr>
              <w:jc w:val="left"/>
              <w:rPr>
                <w:color w:val="000000"/>
                <w:sz w:val="16"/>
                <w:szCs w:val="16"/>
                <w:lang w:val="es-MX" w:eastAsia="es-MX"/>
              </w:rPr>
            </w:pPr>
            <w:r>
              <w:rPr>
                <w:color w:val="000000"/>
                <w:sz w:val="16"/>
                <w:szCs w:val="16"/>
                <w:lang w:val="es-MX" w:eastAsia="es-MX"/>
              </w:rPr>
              <w:t>Índice de producción manufacturera de los Estados Unidos</w:t>
            </w:r>
          </w:p>
        </w:tc>
        <w:tc>
          <w:tcPr>
            <w:tcW w:w="2960" w:type="dxa"/>
            <w:tcBorders>
              <w:top w:val="nil"/>
              <w:left w:val="single" w:sz="2" w:space="0" w:color="auto"/>
              <w:right w:val="single" w:sz="2" w:space="0" w:color="auto"/>
            </w:tcBorders>
            <w:vAlign w:val="center"/>
            <w:hideMark/>
          </w:tcPr>
          <w:p w14:paraId="77E77BAE" w14:textId="7750F5F4" w:rsidR="002E690E" w:rsidRDefault="001A4594">
            <w:pPr>
              <w:jc w:val="left"/>
              <w:rPr>
                <w:color w:val="000000"/>
                <w:sz w:val="16"/>
                <w:szCs w:val="16"/>
                <w:lang w:val="es-MX" w:eastAsia="es-MX"/>
              </w:rPr>
            </w:pPr>
            <w:proofErr w:type="spellStart"/>
            <w:r w:rsidRPr="001A4594">
              <w:rPr>
                <w:smallCaps/>
                <w:color w:val="000000"/>
                <w:sz w:val="16"/>
                <w:szCs w:val="16"/>
                <w:lang w:val="es-MX" w:eastAsia="es-MX"/>
              </w:rPr>
              <w:t>bea</w:t>
            </w:r>
            <w:proofErr w:type="spellEnd"/>
          </w:p>
        </w:tc>
      </w:tr>
      <w:tr w:rsidR="002E690E" w14:paraId="50F9CC18" w14:textId="77777777" w:rsidTr="00B56A08">
        <w:trPr>
          <w:trHeight w:val="288"/>
          <w:jc w:val="center"/>
        </w:trPr>
        <w:tc>
          <w:tcPr>
            <w:tcW w:w="2840" w:type="dxa"/>
            <w:tcBorders>
              <w:top w:val="nil"/>
              <w:left w:val="single" w:sz="2" w:space="0" w:color="auto"/>
              <w:right w:val="single" w:sz="2" w:space="0" w:color="auto"/>
            </w:tcBorders>
            <w:vAlign w:val="center"/>
            <w:hideMark/>
          </w:tcPr>
          <w:p w14:paraId="130001A8" w14:textId="77777777" w:rsidR="002E690E" w:rsidRDefault="002E690E">
            <w:pPr>
              <w:jc w:val="left"/>
              <w:rPr>
                <w:color w:val="000000"/>
                <w:sz w:val="16"/>
                <w:szCs w:val="16"/>
                <w:lang w:val="es-MX" w:eastAsia="es-MX"/>
              </w:rPr>
            </w:pPr>
            <w:r>
              <w:rPr>
                <w:color w:val="000000"/>
                <w:sz w:val="16"/>
                <w:szCs w:val="16"/>
                <w:lang w:val="es-MX" w:eastAsia="es-MX"/>
              </w:rPr>
              <w:t xml:space="preserve">Remesas </w:t>
            </w:r>
          </w:p>
        </w:tc>
        <w:tc>
          <w:tcPr>
            <w:tcW w:w="3380" w:type="dxa"/>
            <w:tcBorders>
              <w:top w:val="nil"/>
              <w:left w:val="single" w:sz="2" w:space="0" w:color="auto"/>
              <w:right w:val="single" w:sz="2" w:space="0" w:color="auto"/>
            </w:tcBorders>
            <w:vAlign w:val="center"/>
            <w:hideMark/>
          </w:tcPr>
          <w:p w14:paraId="024C4860" w14:textId="77777777" w:rsidR="002E690E" w:rsidRDefault="002E690E">
            <w:pPr>
              <w:jc w:val="left"/>
              <w:rPr>
                <w:color w:val="000000"/>
                <w:sz w:val="16"/>
                <w:szCs w:val="16"/>
                <w:lang w:val="es-MX" w:eastAsia="es-MX"/>
              </w:rPr>
            </w:pPr>
            <w:r>
              <w:rPr>
                <w:color w:val="000000"/>
                <w:sz w:val="16"/>
                <w:szCs w:val="16"/>
                <w:lang w:val="es-MX" w:eastAsia="es-MX"/>
              </w:rPr>
              <w:t>Remesas familiares</w:t>
            </w:r>
          </w:p>
        </w:tc>
        <w:tc>
          <w:tcPr>
            <w:tcW w:w="2960" w:type="dxa"/>
            <w:tcBorders>
              <w:top w:val="nil"/>
              <w:left w:val="single" w:sz="2" w:space="0" w:color="auto"/>
              <w:right w:val="single" w:sz="2" w:space="0" w:color="auto"/>
            </w:tcBorders>
            <w:vAlign w:val="center"/>
            <w:hideMark/>
          </w:tcPr>
          <w:p w14:paraId="43814325" w14:textId="1B9C4706" w:rsidR="002E690E" w:rsidRDefault="001A4594">
            <w:pPr>
              <w:jc w:val="left"/>
              <w:rPr>
                <w:color w:val="000000"/>
                <w:sz w:val="16"/>
                <w:szCs w:val="16"/>
                <w:lang w:val="es-MX" w:eastAsia="es-MX"/>
              </w:rPr>
            </w:pPr>
            <w:r w:rsidRPr="001A4594">
              <w:rPr>
                <w:smallCaps/>
                <w:color w:val="000000"/>
                <w:sz w:val="16"/>
                <w:szCs w:val="16"/>
                <w:lang w:val="es-MX" w:eastAsia="es-MX"/>
              </w:rPr>
              <w:t>banxico</w:t>
            </w:r>
          </w:p>
        </w:tc>
      </w:tr>
      <w:tr w:rsidR="002E690E" w14:paraId="0F0DAE97" w14:textId="77777777" w:rsidTr="00B56A08">
        <w:trPr>
          <w:trHeight w:val="288"/>
          <w:jc w:val="center"/>
        </w:trPr>
        <w:tc>
          <w:tcPr>
            <w:tcW w:w="2840" w:type="dxa"/>
            <w:tcBorders>
              <w:left w:val="single" w:sz="2" w:space="0" w:color="auto"/>
              <w:bottom w:val="nil"/>
              <w:right w:val="single" w:sz="2" w:space="0" w:color="auto"/>
            </w:tcBorders>
            <w:vAlign w:val="center"/>
            <w:hideMark/>
          </w:tcPr>
          <w:p w14:paraId="1A17838C" w14:textId="77777777" w:rsidR="002E690E" w:rsidRDefault="002E690E">
            <w:pPr>
              <w:jc w:val="left"/>
              <w:rPr>
                <w:color w:val="000000"/>
                <w:sz w:val="16"/>
                <w:szCs w:val="16"/>
                <w:lang w:val="es-MX" w:eastAsia="es-MX"/>
              </w:rPr>
            </w:pPr>
            <w:r>
              <w:rPr>
                <w:color w:val="000000"/>
                <w:sz w:val="16"/>
                <w:szCs w:val="16"/>
                <w:lang w:val="es-MX" w:eastAsia="es-MX"/>
              </w:rPr>
              <w:t>SP 500</w:t>
            </w:r>
          </w:p>
        </w:tc>
        <w:tc>
          <w:tcPr>
            <w:tcW w:w="3380" w:type="dxa"/>
            <w:tcBorders>
              <w:left w:val="single" w:sz="2" w:space="0" w:color="auto"/>
              <w:bottom w:val="nil"/>
              <w:right w:val="single" w:sz="2" w:space="0" w:color="auto"/>
            </w:tcBorders>
            <w:vAlign w:val="center"/>
            <w:hideMark/>
          </w:tcPr>
          <w:p w14:paraId="131E48A3" w14:textId="77777777" w:rsidR="002E690E" w:rsidRDefault="002E690E">
            <w:pPr>
              <w:jc w:val="left"/>
              <w:rPr>
                <w:color w:val="000000"/>
                <w:sz w:val="16"/>
                <w:szCs w:val="16"/>
                <w:lang w:val="es-MX" w:eastAsia="es-MX"/>
              </w:rPr>
            </w:pPr>
            <w:r>
              <w:rPr>
                <w:color w:val="000000"/>
                <w:sz w:val="16"/>
                <w:szCs w:val="16"/>
                <w:lang w:val="es-MX" w:eastAsia="es-MX"/>
              </w:rPr>
              <w:t xml:space="preserve">Índice Standard &amp; </w:t>
            </w:r>
            <w:proofErr w:type="spellStart"/>
            <w:r>
              <w:rPr>
                <w:color w:val="000000"/>
                <w:sz w:val="16"/>
                <w:szCs w:val="16"/>
                <w:lang w:val="es-MX" w:eastAsia="es-MX"/>
              </w:rPr>
              <w:t>Poor’s</w:t>
            </w:r>
            <w:proofErr w:type="spellEnd"/>
          </w:p>
        </w:tc>
        <w:tc>
          <w:tcPr>
            <w:tcW w:w="2960" w:type="dxa"/>
            <w:tcBorders>
              <w:left w:val="single" w:sz="2" w:space="0" w:color="auto"/>
              <w:bottom w:val="nil"/>
              <w:right w:val="single" w:sz="2" w:space="0" w:color="auto"/>
            </w:tcBorders>
            <w:vAlign w:val="center"/>
            <w:hideMark/>
          </w:tcPr>
          <w:p w14:paraId="0BD5403A" w14:textId="77777777" w:rsidR="002E690E" w:rsidRDefault="002E690E">
            <w:pPr>
              <w:jc w:val="left"/>
              <w:rPr>
                <w:color w:val="000000"/>
                <w:sz w:val="16"/>
                <w:szCs w:val="16"/>
                <w:lang w:val="es-MX" w:eastAsia="es-MX"/>
              </w:rPr>
            </w:pPr>
            <w:r>
              <w:rPr>
                <w:color w:val="000000"/>
                <w:sz w:val="16"/>
                <w:szCs w:val="16"/>
                <w:lang w:val="es-MX" w:eastAsia="es-MX"/>
              </w:rPr>
              <w:t>Yahoo! Financiero</w:t>
            </w:r>
          </w:p>
        </w:tc>
      </w:tr>
      <w:tr w:rsidR="002E690E" w14:paraId="575CB497" w14:textId="77777777" w:rsidTr="00B56A08">
        <w:trPr>
          <w:trHeight w:val="408"/>
          <w:jc w:val="center"/>
        </w:trPr>
        <w:tc>
          <w:tcPr>
            <w:tcW w:w="2840" w:type="dxa"/>
            <w:tcBorders>
              <w:top w:val="nil"/>
              <w:left w:val="single" w:sz="2" w:space="0" w:color="auto"/>
              <w:bottom w:val="nil"/>
              <w:right w:val="single" w:sz="2" w:space="0" w:color="auto"/>
            </w:tcBorders>
            <w:vAlign w:val="center"/>
            <w:hideMark/>
          </w:tcPr>
          <w:p w14:paraId="1AEF8F34" w14:textId="05BB19BE" w:rsidR="002E690E" w:rsidRDefault="00A365CE">
            <w:pPr>
              <w:jc w:val="left"/>
              <w:rPr>
                <w:color w:val="000000"/>
                <w:sz w:val="16"/>
                <w:szCs w:val="16"/>
                <w:lang w:val="es-MX" w:eastAsia="es-MX"/>
              </w:rPr>
            </w:pPr>
            <w:proofErr w:type="spellStart"/>
            <w:r w:rsidRPr="00EB4C46">
              <w:rPr>
                <w:smallCaps/>
                <w:color w:val="000000"/>
                <w:sz w:val="16"/>
                <w:szCs w:val="16"/>
                <w:lang w:val="es-MX" w:eastAsia="es-MX"/>
              </w:rPr>
              <w:t>spei</w:t>
            </w:r>
            <w:proofErr w:type="spellEnd"/>
          </w:p>
        </w:tc>
        <w:tc>
          <w:tcPr>
            <w:tcW w:w="3380" w:type="dxa"/>
            <w:tcBorders>
              <w:top w:val="nil"/>
              <w:left w:val="single" w:sz="2" w:space="0" w:color="auto"/>
              <w:bottom w:val="nil"/>
              <w:right w:val="single" w:sz="2" w:space="0" w:color="auto"/>
            </w:tcBorders>
            <w:vAlign w:val="center"/>
            <w:hideMark/>
          </w:tcPr>
          <w:p w14:paraId="73558824" w14:textId="77777777" w:rsidR="002E690E" w:rsidRDefault="002E690E">
            <w:pPr>
              <w:jc w:val="left"/>
              <w:rPr>
                <w:color w:val="000000"/>
                <w:sz w:val="16"/>
                <w:szCs w:val="16"/>
                <w:lang w:val="es-MX" w:eastAsia="es-MX"/>
              </w:rPr>
            </w:pPr>
            <w:r>
              <w:rPr>
                <w:color w:val="000000"/>
                <w:sz w:val="16"/>
                <w:szCs w:val="16"/>
                <w:lang w:val="es-MX" w:eastAsia="es-MX"/>
              </w:rPr>
              <w:t>Transferencias realizadas en el Sistema de Pagos Electrónicos Interbancarios</w:t>
            </w:r>
          </w:p>
        </w:tc>
        <w:tc>
          <w:tcPr>
            <w:tcW w:w="2960" w:type="dxa"/>
            <w:tcBorders>
              <w:top w:val="nil"/>
              <w:left w:val="single" w:sz="2" w:space="0" w:color="auto"/>
              <w:bottom w:val="nil"/>
              <w:right w:val="single" w:sz="2" w:space="0" w:color="auto"/>
            </w:tcBorders>
            <w:vAlign w:val="center"/>
            <w:hideMark/>
          </w:tcPr>
          <w:p w14:paraId="3354CD82" w14:textId="70B2E635" w:rsidR="002E690E" w:rsidRDefault="001A4594">
            <w:pPr>
              <w:jc w:val="left"/>
              <w:rPr>
                <w:color w:val="000000"/>
                <w:sz w:val="16"/>
                <w:szCs w:val="16"/>
                <w:lang w:val="es-MX" w:eastAsia="es-MX"/>
              </w:rPr>
            </w:pPr>
            <w:r w:rsidRPr="001A4594">
              <w:rPr>
                <w:smallCaps/>
                <w:color w:val="000000"/>
                <w:sz w:val="16"/>
                <w:szCs w:val="16"/>
                <w:lang w:val="es-MX" w:eastAsia="es-MX"/>
              </w:rPr>
              <w:t>banxico</w:t>
            </w:r>
          </w:p>
        </w:tc>
      </w:tr>
      <w:tr w:rsidR="002E690E" w14:paraId="5F03581E" w14:textId="77777777" w:rsidTr="00B56A08">
        <w:trPr>
          <w:trHeight w:val="408"/>
          <w:jc w:val="center"/>
        </w:trPr>
        <w:tc>
          <w:tcPr>
            <w:tcW w:w="2840" w:type="dxa"/>
            <w:tcBorders>
              <w:top w:val="nil"/>
              <w:left w:val="single" w:sz="2" w:space="0" w:color="auto"/>
              <w:bottom w:val="nil"/>
              <w:right w:val="single" w:sz="2" w:space="0" w:color="auto"/>
            </w:tcBorders>
            <w:vAlign w:val="center"/>
            <w:hideMark/>
          </w:tcPr>
          <w:p w14:paraId="1A88DFD2" w14:textId="77777777" w:rsidR="002E690E" w:rsidRDefault="002E690E">
            <w:pPr>
              <w:jc w:val="left"/>
              <w:rPr>
                <w:color w:val="000000"/>
                <w:sz w:val="16"/>
                <w:szCs w:val="16"/>
                <w:lang w:val="es-MX" w:eastAsia="es-MX"/>
              </w:rPr>
            </w:pPr>
            <w:r>
              <w:rPr>
                <w:color w:val="000000"/>
                <w:sz w:val="16"/>
                <w:szCs w:val="16"/>
                <w:lang w:val="es-MX" w:eastAsia="es-MX"/>
              </w:rPr>
              <w:t>Tarjetas bancarias</w:t>
            </w:r>
          </w:p>
        </w:tc>
        <w:tc>
          <w:tcPr>
            <w:tcW w:w="3380" w:type="dxa"/>
            <w:tcBorders>
              <w:top w:val="nil"/>
              <w:left w:val="single" w:sz="2" w:space="0" w:color="auto"/>
              <w:bottom w:val="nil"/>
              <w:right w:val="single" w:sz="2" w:space="0" w:color="auto"/>
            </w:tcBorders>
            <w:vAlign w:val="center"/>
            <w:hideMark/>
          </w:tcPr>
          <w:p w14:paraId="0FFF4266" w14:textId="77777777" w:rsidR="002E690E" w:rsidRDefault="002E690E">
            <w:pPr>
              <w:jc w:val="left"/>
              <w:rPr>
                <w:color w:val="000000"/>
                <w:sz w:val="16"/>
                <w:szCs w:val="16"/>
                <w:lang w:val="es-MX" w:eastAsia="es-MX"/>
              </w:rPr>
            </w:pPr>
            <w:r>
              <w:rPr>
                <w:color w:val="000000"/>
                <w:sz w:val="16"/>
                <w:szCs w:val="16"/>
                <w:lang w:val="es-MX" w:eastAsia="es-MX"/>
              </w:rPr>
              <w:t>Transacciones realizadas con tarjetas bancarias </w:t>
            </w:r>
          </w:p>
        </w:tc>
        <w:tc>
          <w:tcPr>
            <w:tcW w:w="2960" w:type="dxa"/>
            <w:tcBorders>
              <w:top w:val="nil"/>
              <w:left w:val="single" w:sz="2" w:space="0" w:color="auto"/>
              <w:bottom w:val="nil"/>
              <w:right w:val="single" w:sz="2" w:space="0" w:color="auto"/>
            </w:tcBorders>
            <w:vAlign w:val="center"/>
            <w:hideMark/>
          </w:tcPr>
          <w:p w14:paraId="4EA304FE" w14:textId="350FBC7E" w:rsidR="002E690E" w:rsidRDefault="001A4594">
            <w:pPr>
              <w:jc w:val="left"/>
              <w:rPr>
                <w:color w:val="000000"/>
                <w:sz w:val="16"/>
                <w:szCs w:val="16"/>
                <w:lang w:val="es-MX" w:eastAsia="es-MX"/>
              </w:rPr>
            </w:pPr>
            <w:r w:rsidRPr="001A4594">
              <w:rPr>
                <w:smallCaps/>
                <w:color w:val="000000"/>
                <w:sz w:val="16"/>
                <w:szCs w:val="16"/>
                <w:lang w:val="es-MX" w:eastAsia="es-MX"/>
              </w:rPr>
              <w:t>banxico</w:t>
            </w:r>
          </w:p>
        </w:tc>
      </w:tr>
      <w:tr w:rsidR="002E690E" w14:paraId="04CE81DC" w14:textId="77777777" w:rsidTr="00B56A08">
        <w:trPr>
          <w:trHeight w:val="408"/>
          <w:jc w:val="center"/>
        </w:trPr>
        <w:tc>
          <w:tcPr>
            <w:tcW w:w="2840" w:type="dxa"/>
            <w:tcBorders>
              <w:top w:val="nil"/>
              <w:left w:val="single" w:sz="2" w:space="0" w:color="auto"/>
              <w:bottom w:val="nil"/>
              <w:right w:val="single" w:sz="2" w:space="0" w:color="auto"/>
            </w:tcBorders>
            <w:vAlign w:val="center"/>
            <w:hideMark/>
          </w:tcPr>
          <w:p w14:paraId="1E585A8E" w14:textId="60044FDB" w:rsidR="002E690E" w:rsidRDefault="00A365CE">
            <w:pPr>
              <w:jc w:val="left"/>
              <w:rPr>
                <w:color w:val="000000"/>
                <w:sz w:val="16"/>
                <w:szCs w:val="16"/>
                <w:lang w:val="es-MX" w:eastAsia="es-MX"/>
              </w:rPr>
            </w:pPr>
            <w:proofErr w:type="spellStart"/>
            <w:r w:rsidRPr="00EB4C46">
              <w:rPr>
                <w:smallCaps/>
                <w:color w:val="000000"/>
                <w:sz w:val="16"/>
                <w:szCs w:val="16"/>
                <w:lang w:val="es-MX" w:eastAsia="es-MX"/>
              </w:rPr>
              <w:t>tiie</w:t>
            </w:r>
            <w:proofErr w:type="spellEnd"/>
            <w:r>
              <w:rPr>
                <w:color w:val="000000"/>
                <w:sz w:val="16"/>
                <w:szCs w:val="16"/>
                <w:lang w:val="es-MX" w:eastAsia="es-MX"/>
              </w:rPr>
              <w:t xml:space="preserve"> </w:t>
            </w:r>
            <w:r w:rsidR="002E690E">
              <w:rPr>
                <w:color w:val="000000"/>
                <w:sz w:val="16"/>
                <w:szCs w:val="16"/>
                <w:lang w:val="es-MX" w:eastAsia="es-MX"/>
              </w:rPr>
              <w:t>28</w:t>
            </w:r>
          </w:p>
        </w:tc>
        <w:tc>
          <w:tcPr>
            <w:tcW w:w="3380" w:type="dxa"/>
            <w:tcBorders>
              <w:top w:val="nil"/>
              <w:left w:val="single" w:sz="2" w:space="0" w:color="auto"/>
              <w:bottom w:val="nil"/>
              <w:right w:val="single" w:sz="2" w:space="0" w:color="auto"/>
            </w:tcBorders>
            <w:vAlign w:val="center"/>
            <w:hideMark/>
          </w:tcPr>
          <w:p w14:paraId="3E96C364" w14:textId="77777777" w:rsidR="002E690E" w:rsidRDefault="002E690E">
            <w:pPr>
              <w:jc w:val="left"/>
              <w:rPr>
                <w:color w:val="000000"/>
                <w:sz w:val="16"/>
                <w:szCs w:val="16"/>
                <w:lang w:val="es-MX" w:eastAsia="es-MX"/>
              </w:rPr>
            </w:pPr>
            <w:r>
              <w:rPr>
                <w:color w:val="000000"/>
                <w:sz w:val="16"/>
                <w:szCs w:val="16"/>
                <w:lang w:val="es-MX" w:eastAsia="es-MX"/>
              </w:rPr>
              <w:t>Tasa de interés interbancaria de equilibrio a 28 días</w:t>
            </w:r>
          </w:p>
        </w:tc>
        <w:tc>
          <w:tcPr>
            <w:tcW w:w="2960" w:type="dxa"/>
            <w:tcBorders>
              <w:top w:val="nil"/>
              <w:left w:val="single" w:sz="2" w:space="0" w:color="auto"/>
              <w:bottom w:val="nil"/>
              <w:right w:val="single" w:sz="2" w:space="0" w:color="auto"/>
            </w:tcBorders>
            <w:vAlign w:val="center"/>
            <w:hideMark/>
          </w:tcPr>
          <w:p w14:paraId="38D2A9F2" w14:textId="62EC929B" w:rsidR="002E690E" w:rsidRDefault="001A4594">
            <w:pPr>
              <w:jc w:val="left"/>
              <w:rPr>
                <w:color w:val="000000"/>
                <w:sz w:val="16"/>
                <w:szCs w:val="16"/>
                <w:lang w:val="es-MX" w:eastAsia="es-MX"/>
              </w:rPr>
            </w:pPr>
            <w:r w:rsidRPr="001A4594">
              <w:rPr>
                <w:smallCaps/>
                <w:color w:val="000000"/>
                <w:sz w:val="16"/>
                <w:szCs w:val="16"/>
                <w:lang w:val="es-MX" w:eastAsia="es-MX"/>
              </w:rPr>
              <w:t>banxico</w:t>
            </w:r>
          </w:p>
        </w:tc>
      </w:tr>
      <w:tr w:rsidR="002E690E" w14:paraId="249EA84D" w14:textId="77777777" w:rsidTr="00B56A08">
        <w:trPr>
          <w:trHeight w:val="288"/>
          <w:jc w:val="center"/>
        </w:trPr>
        <w:tc>
          <w:tcPr>
            <w:tcW w:w="2840" w:type="dxa"/>
            <w:tcBorders>
              <w:top w:val="nil"/>
              <w:left w:val="single" w:sz="2" w:space="0" w:color="auto"/>
              <w:bottom w:val="nil"/>
              <w:right w:val="single" w:sz="2" w:space="0" w:color="auto"/>
            </w:tcBorders>
            <w:vAlign w:val="center"/>
            <w:hideMark/>
          </w:tcPr>
          <w:p w14:paraId="01587957" w14:textId="77777777" w:rsidR="002E690E" w:rsidRDefault="002E690E">
            <w:pPr>
              <w:jc w:val="left"/>
              <w:rPr>
                <w:color w:val="000000"/>
                <w:sz w:val="16"/>
                <w:szCs w:val="16"/>
                <w:lang w:val="es-MX" w:eastAsia="es-MX"/>
              </w:rPr>
            </w:pPr>
            <w:r>
              <w:rPr>
                <w:color w:val="000000"/>
                <w:sz w:val="16"/>
                <w:szCs w:val="16"/>
                <w:lang w:val="es-MX" w:eastAsia="es-MX"/>
              </w:rPr>
              <w:t>Tipo de cambio</w:t>
            </w:r>
          </w:p>
        </w:tc>
        <w:tc>
          <w:tcPr>
            <w:tcW w:w="3380" w:type="dxa"/>
            <w:tcBorders>
              <w:top w:val="nil"/>
              <w:left w:val="single" w:sz="2" w:space="0" w:color="auto"/>
              <w:bottom w:val="nil"/>
              <w:right w:val="single" w:sz="2" w:space="0" w:color="auto"/>
            </w:tcBorders>
            <w:vAlign w:val="center"/>
            <w:hideMark/>
          </w:tcPr>
          <w:p w14:paraId="3A33BCB9" w14:textId="77777777" w:rsidR="002E690E" w:rsidRDefault="002E690E">
            <w:pPr>
              <w:jc w:val="left"/>
              <w:rPr>
                <w:color w:val="000000"/>
                <w:sz w:val="16"/>
                <w:szCs w:val="16"/>
                <w:lang w:val="es-MX" w:eastAsia="es-MX"/>
              </w:rPr>
            </w:pPr>
            <w:r>
              <w:rPr>
                <w:color w:val="000000"/>
                <w:sz w:val="16"/>
                <w:szCs w:val="16"/>
                <w:lang w:val="es-MX" w:eastAsia="es-MX"/>
              </w:rPr>
              <w:t>Tipo de cambio nominal promedio</w:t>
            </w:r>
          </w:p>
        </w:tc>
        <w:tc>
          <w:tcPr>
            <w:tcW w:w="2960" w:type="dxa"/>
            <w:tcBorders>
              <w:top w:val="nil"/>
              <w:left w:val="single" w:sz="2" w:space="0" w:color="auto"/>
              <w:bottom w:val="nil"/>
              <w:right w:val="single" w:sz="2" w:space="0" w:color="auto"/>
            </w:tcBorders>
            <w:vAlign w:val="center"/>
            <w:hideMark/>
          </w:tcPr>
          <w:p w14:paraId="6DDBCEEF" w14:textId="37F573CD" w:rsidR="002E690E" w:rsidRDefault="001A4594">
            <w:pPr>
              <w:jc w:val="left"/>
              <w:rPr>
                <w:color w:val="000000"/>
                <w:sz w:val="16"/>
                <w:szCs w:val="16"/>
                <w:lang w:val="es-MX" w:eastAsia="es-MX"/>
              </w:rPr>
            </w:pPr>
            <w:r w:rsidRPr="001A4594">
              <w:rPr>
                <w:smallCaps/>
                <w:color w:val="000000"/>
                <w:sz w:val="16"/>
                <w:szCs w:val="16"/>
                <w:lang w:val="es-MX" w:eastAsia="es-MX"/>
              </w:rPr>
              <w:t>banxico</w:t>
            </w:r>
          </w:p>
        </w:tc>
      </w:tr>
      <w:tr w:rsidR="002E690E" w14:paraId="5822896D" w14:textId="77777777" w:rsidTr="00B56A08">
        <w:trPr>
          <w:trHeight w:val="420"/>
          <w:jc w:val="center"/>
        </w:trPr>
        <w:tc>
          <w:tcPr>
            <w:tcW w:w="2840" w:type="dxa"/>
            <w:tcBorders>
              <w:top w:val="nil"/>
              <w:left w:val="single" w:sz="2" w:space="0" w:color="auto"/>
              <w:bottom w:val="single" w:sz="2" w:space="0" w:color="auto"/>
              <w:right w:val="single" w:sz="2" w:space="0" w:color="auto"/>
            </w:tcBorders>
            <w:vAlign w:val="center"/>
            <w:hideMark/>
          </w:tcPr>
          <w:p w14:paraId="75AB6703" w14:textId="77777777" w:rsidR="002E690E" w:rsidRDefault="002E690E">
            <w:pPr>
              <w:jc w:val="left"/>
              <w:rPr>
                <w:color w:val="000000"/>
                <w:sz w:val="16"/>
                <w:szCs w:val="16"/>
                <w:lang w:val="es-MX" w:eastAsia="es-MX"/>
              </w:rPr>
            </w:pPr>
            <w:r>
              <w:rPr>
                <w:color w:val="000000"/>
                <w:sz w:val="16"/>
                <w:szCs w:val="16"/>
                <w:lang w:val="es-MX" w:eastAsia="es-MX"/>
              </w:rPr>
              <w:t>Ventas al por menor</w:t>
            </w:r>
          </w:p>
        </w:tc>
        <w:tc>
          <w:tcPr>
            <w:tcW w:w="3380" w:type="dxa"/>
            <w:tcBorders>
              <w:top w:val="nil"/>
              <w:left w:val="single" w:sz="2" w:space="0" w:color="auto"/>
              <w:bottom w:val="single" w:sz="2" w:space="0" w:color="auto"/>
              <w:right w:val="single" w:sz="2" w:space="0" w:color="auto"/>
            </w:tcBorders>
            <w:vAlign w:val="center"/>
            <w:hideMark/>
          </w:tcPr>
          <w:p w14:paraId="4B9BE483" w14:textId="438B1540" w:rsidR="002E690E" w:rsidRDefault="002E690E">
            <w:pPr>
              <w:jc w:val="left"/>
              <w:rPr>
                <w:color w:val="000000"/>
                <w:sz w:val="16"/>
                <w:szCs w:val="16"/>
                <w:lang w:val="es-MX" w:eastAsia="es-MX"/>
              </w:rPr>
            </w:pPr>
            <w:r>
              <w:rPr>
                <w:color w:val="000000"/>
                <w:sz w:val="16"/>
                <w:szCs w:val="16"/>
                <w:lang w:val="es-MX" w:eastAsia="es-MX"/>
              </w:rPr>
              <w:t>Ingresos por suministros de bienes y servicios. Comercio al por menor</w:t>
            </w:r>
          </w:p>
        </w:tc>
        <w:tc>
          <w:tcPr>
            <w:tcW w:w="2960" w:type="dxa"/>
            <w:tcBorders>
              <w:top w:val="nil"/>
              <w:left w:val="single" w:sz="2" w:space="0" w:color="auto"/>
              <w:bottom w:val="single" w:sz="2" w:space="0" w:color="auto"/>
              <w:right w:val="single" w:sz="2" w:space="0" w:color="auto"/>
            </w:tcBorders>
            <w:vAlign w:val="center"/>
            <w:hideMark/>
          </w:tcPr>
          <w:p w14:paraId="369A4A56" w14:textId="318D72CE" w:rsidR="002E690E" w:rsidRDefault="00A365CE">
            <w:pPr>
              <w:jc w:val="left"/>
              <w:rPr>
                <w:color w:val="000000"/>
                <w:sz w:val="16"/>
                <w:szCs w:val="16"/>
                <w:lang w:val="es-MX" w:eastAsia="es-MX"/>
              </w:rPr>
            </w:pPr>
            <w:r w:rsidRPr="00EB4C46">
              <w:rPr>
                <w:smallCaps/>
                <w:color w:val="000000"/>
                <w:sz w:val="16"/>
                <w:szCs w:val="16"/>
                <w:lang w:val="es-MX" w:eastAsia="es-MX"/>
              </w:rPr>
              <w:t>inegi</w:t>
            </w:r>
          </w:p>
        </w:tc>
      </w:tr>
    </w:tbl>
    <w:p w14:paraId="34A36AF6" w14:textId="4529F31A" w:rsidR="002E690E" w:rsidRDefault="002E690E" w:rsidP="002E690E">
      <w:pPr>
        <w:spacing w:before="240" w:after="120"/>
        <w:rPr>
          <w:spacing w:val="-2"/>
        </w:rPr>
      </w:pPr>
      <w:r>
        <w:rPr>
          <w:spacing w:val="-2"/>
        </w:rPr>
        <w:t xml:space="preserve">El </w:t>
      </w:r>
      <w:r w:rsidR="00117217" w:rsidRPr="00117217">
        <w:rPr>
          <w:smallCaps/>
          <w:spacing w:val="-2"/>
        </w:rPr>
        <w:t>inegi</w:t>
      </w:r>
      <w:r w:rsidR="00117217">
        <w:rPr>
          <w:spacing w:val="-2"/>
        </w:rPr>
        <w:t xml:space="preserve"> </w:t>
      </w:r>
      <w:r>
        <w:rPr>
          <w:spacing w:val="-2"/>
        </w:rPr>
        <w:t xml:space="preserve">genera la información que contiene este documento y la da a conocer con base en el </w:t>
      </w:r>
      <w:r>
        <w:rPr>
          <w:snapToGrid w:val="0"/>
          <w:spacing w:val="-2"/>
        </w:rPr>
        <w:t>Calendario de Difusión de Información Estadística y Geográfica y de Interés Nacional</w:t>
      </w:r>
      <w:r>
        <w:rPr>
          <w:spacing w:val="-2"/>
        </w:rPr>
        <w:t>.</w:t>
      </w:r>
    </w:p>
    <w:p w14:paraId="7C4B3468" w14:textId="77777777" w:rsidR="002E690E" w:rsidRDefault="002E690E" w:rsidP="002E690E">
      <w:pPr>
        <w:spacing w:before="240"/>
      </w:pPr>
      <w:r>
        <w:t>La síntesis metodológica puede consultarse en: </w:t>
      </w:r>
      <w:hyperlink r:id="rId27" w:anchor="Documentacion" w:history="1">
        <w:r>
          <w:rPr>
            <w:rStyle w:val="Hipervnculo"/>
          </w:rPr>
          <w:t>https://www.inegi.org.mx/investigacion/ioae/#Documentacion</w:t>
        </w:r>
      </w:hyperlink>
      <w:r>
        <w:t>.</w:t>
      </w:r>
    </w:p>
    <w:p w14:paraId="0068BBFD" w14:textId="3EC47841" w:rsidR="00593F5A" w:rsidRPr="001F1169" w:rsidRDefault="002E690E" w:rsidP="002E690E">
      <w:pPr>
        <w:pStyle w:val="texto0"/>
        <w:ind w:right="50"/>
        <w:rPr>
          <w:color w:val="auto"/>
        </w:rPr>
      </w:pPr>
      <w:r>
        <w:rPr>
          <w:rFonts w:cs="Arial"/>
          <w:color w:val="auto"/>
          <w:spacing w:val="-2"/>
        </w:rPr>
        <w:t>Las</w:t>
      </w:r>
      <w:r w:rsidR="00842D4D">
        <w:rPr>
          <w:rFonts w:cs="Arial"/>
          <w:color w:val="auto"/>
          <w:spacing w:val="-2"/>
        </w:rPr>
        <w:t xml:space="preserve"> </w:t>
      </w:r>
      <w:r>
        <w:rPr>
          <w:rFonts w:cs="Arial"/>
          <w:color w:val="auto"/>
          <w:spacing w:val="-2"/>
        </w:rPr>
        <w:t>series</w:t>
      </w:r>
      <w:r w:rsidR="00842D4D">
        <w:rPr>
          <w:rFonts w:cs="Arial"/>
          <w:color w:val="auto"/>
          <w:spacing w:val="-2"/>
        </w:rPr>
        <w:t xml:space="preserve"> </w:t>
      </w:r>
      <w:r>
        <w:rPr>
          <w:rFonts w:cs="Arial"/>
          <w:color w:val="auto"/>
          <w:spacing w:val="-2"/>
        </w:rPr>
        <w:t>del</w:t>
      </w:r>
      <w:r w:rsidR="00842D4D">
        <w:rPr>
          <w:rFonts w:cs="Arial"/>
          <w:color w:val="auto"/>
          <w:spacing w:val="-2"/>
        </w:rPr>
        <w:t xml:space="preserve"> </w:t>
      </w:r>
      <w:r w:rsidR="00117217" w:rsidRPr="00117217">
        <w:rPr>
          <w:rFonts w:cs="Arial"/>
          <w:smallCaps/>
          <w:color w:val="auto"/>
          <w:spacing w:val="-2"/>
        </w:rPr>
        <w:t>ioae</w:t>
      </w:r>
      <w:r w:rsidR="00117217">
        <w:rPr>
          <w:rFonts w:cs="Arial"/>
          <w:color w:val="auto"/>
          <w:spacing w:val="-2"/>
        </w:rPr>
        <w:t xml:space="preserve"> </w:t>
      </w:r>
      <w:r>
        <w:rPr>
          <w:rFonts w:cs="Arial"/>
          <w:color w:val="auto"/>
          <w:spacing w:val="-2"/>
        </w:rPr>
        <w:t>pueden</w:t>
      </w:r>
      <w:r w:rsidR="00842D4D">
        <w:rPr>
          <w:rFonts w:cs="Arial"/>
          <w:color w:val="auto"/>
          <w:spacing w:val="-2"/>
        </w:rPr>
        <w:t xml:space="preserve"> </w:t>
      </w:r>
      <w:r>
        <w:rPr>
          <w:rFonts w:cs="Arial"/>
          <w:color w:val="auto"/>
          <w:spacing w:val="-2"/>
        </w:rPr>
        <w:t>consultarse</w:t>
      </w:r>
      <w:r w:rsidR="00842D4D">
        <w:rPr>
          <w:rFonts w:cs="Arial"/>
          <w:color w:val="auto"/>
          <w:spacing w:val="-2"/>
        </w:rPr>
        <w:t xml:space="preserve"> </w:t>
      </w:r>
      <w:r>
        <w:rPr>
          <w:rFonts w:cs="Arial"/>
          <w:color w:val="auto"/>
          <w:spacing w:val="-2"/>
        </w:rPr>
        <w:t>en:</w:t>
      </w:r>
      <w:r w:rsidR="00842D4D">
        <w:rPr>
          <w:rFonts w:cs="Arial"/>
          <w:color w:val="auto"/>
          <w:spacing w:val="-2"/>
        </w:rPr>
        <w:t xml:space="preserve"> </w:t>
      </w:r>
      <w:hyperlink r:id="rId28" w:history="1">
        <w:r>
          <w:rPr>
            <w:rStyle w:val="Hipervnculo"/>
            <w:spacing w:val="-2"/>
          </w:rPr>
          <w:t>https://www.inegi.org.mx/investigacion/ioae/</w:t>
        </w:r>
      </w:hyperlink>
    </w:p>
    <w:sectPr w:rsidR="00593F5A" w:rsidRPr="001F1169" w:rsidSect="00895E7B">
      <w:headerReference w:type="default" r:id="rId29"/>
      <w:footerReference w:type="default" r:id="rId30"/>
      <w:pgSz w:w="12242" w:h="15842" w:code="1"/>
      <w:pgMar w:top="1134" w:right="1134" w:bottom="1134" w:left="1134"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BEAC5" w14:textId="77777777" w:rsidR="00D018D0" w:rsidRDefault="00D018D0">
      <w:r>
        <w:separator/>
      </w:r>
    </w:p>
    <w:p w14:paraId="6F5A5D22" w14:textId="77777777" w:rsidR="00D018D0" w:rsidRDefault="00D018D0"/>
  </w:endnote>
  <w:endnote w:type="continuationSeparator" w:id="0">
    <w:p w14:paraId="249F3BD7" w14:textId="77777777" w:rsidR="00D018D0" w:rsidRDefault="00D018D0">
      <w:r>
        <w:continuationSeparator/>
      </w:r>
    </w:p>
    <w:p w14:paraId="0BC76706" w14:textId="77777777" w:rsidR="00D018D0" w:rsidRDefault="00D018D0"/>
  </w:endnote>
  <w:endnote w:type="continuationNotice" w:id="1">
    <w:p w14:paraId="430E56B6" w14:textId="77777777" w:rsidR="00D018D0" w:rsidRDefault="00D01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egrita">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3E27C" w14:textId="1B54DB06" w:rsidR="00C54799" w:rsidRPr="00FA580B" w:rsidRDefault="00895E7B" w:rsidP="003076C4">
    <w:pPr>
      <w:pStyle w:val="Piedepgina"/>
      <w:jc w:val="center"/>
      <w:rPr>
        <w:b/>
        <w:color w:val="003057"/>
        <w:sz w:val="20"/>
        <w:szCs w:val="20"/>
        <w:lang w:val="es-MX"/>
      </w:rPr>
    </w:pPr>
    <w:r>
      <w:rPr>
        <w:b/>
        <w:color w:val="003057"/>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5E5E6" w14:textId="77777777" w:rsidR="00D018D0" w:rsidRDefault="00D018D0">
      <w:r>
        <w:separator/>
      </w:r>
    </w:p>
  </w:footnote>
  <w:footnote w:type="continuationSeparator" w:id="0">
    <w:p w14:paraId="401BC690" w14:textId="77777777" w:rsidR="00D018D0" w:rsidRDefault="00D018D0">
      <w:r>
        <w:continuationSeparator/>
      </w:r>
    </w:p>
    <w:p w14:paraId="049D65BF" w14:textId="77777777" w:rsidR="00D018D0" w:rsidRDefault="00D018D0"/>
  </w:footnote>
  <w:footnote w:type="continuationNotice" w:id="1">
    <w:p w14:paraId="49B8A480" w14:textId="77777777" w:rsidR="00D018D0" w:rsidRDefault="00D018D0"/>
  </w:footnote>
  <w:footnote w:id="2">
    <w:p w14:paraId="644D7FB5" w14:textId="0A63D88A" w:rsidR="00BF7224" w:rsidRPr="00187383" w:rsidRDefault="00BF7224" w:rsidP="00BF7224">
      <w:pPr>
        <w:pStyle w:val="Textonotapie"/>
        <w:ind w:left="170" w:hanging="170"/>
        <w:rPr>
          <w:sz w:val="16"/>
          <w:szCs w:val="16"/>
        </w:rPr>
      </w:pPr>
      <w:r w:rsidRPr="00187383">
        <w:rPr>
          <w:rStyle w:val="Refdenotaalpie"/>
          <w:sz w:val="16"/>
          <w:szCs w:val="16"/>
        </w:rPr>
        <w:footnoteRef/>
      </w:r>
      <w:r w:rsidRPr="00187383">
        <w:rPr>
          <w:sz w:val="16"/>
          <w:szCs w:val="16"/>
        </w:rPr>
        <w:tab/>
        <w:t>Estimación oportuna que aprovecha la asociación estadística entre la variable que se desea estimar —en este caso</w:t>
      </w:r>
      <w:r w:rsidR="00C01745" w:rsidRPr="00187383">
        <w:rPr>
          <w:sz w:val="16"/>
          <w:szCs w:val="16"/>
        </w:rPr>
        <w:t>,</w:t>
      </w:r>
      <w:r w:rsidRPr="00187383">
        <w:rPr>
          <w:sz w:val="16"/>
          <w:szCs w:val="16"/>
        </w:rPr>
        <w:t xml:space="preserve"> el </w:t>
      </w:r>
      <w:r w:rsidR="001C5D78" w:rsidRPr="00187383">
        <w:rPr>
          <w:smallCaps/>
          <w:sz w:val="16"/>
          <w:szCs w:val="16"/>
        </w:rPr>
        <w:t>igae</w:t>
      </w:r>
      <w:r w:rsidRPr="00187383">
        <w:rPr>
          <w:sz w:val="16"/>
          <w:szCs w:val="16"/>
        </w:rPr>
        <w:t>— y otras variables más oportunas que esta.</w:t>
      </w:r>
    </w:p>
  </w:footnote>
  <w:footnote w:id="3">
    <w:p w14:paraId="0C293493" w14:textId="7642ED17" w:rsidR="00BF7224" w:rsidRDefault="00BF7224" w:rsidP="00BF7224">
      <w:pPr>
        <w:pStyle w:val="Textonotapie"/>
        <w:ind w:left="170" w:hanging="170"/>
        <w:rPr>
          <w:sz w:val="16"/>
          <w:szCs w:val="16"/>
          <w:lang w:val="es-MX"/>
        </w:rPr>
      </w:pPr>
      <w:r w:rsidRPr="00187383">
        <w:rPr>
          <w:rStyle w:val="Refdenotaalpie"/>
          <w:sz w:val="16"/>
          <w:szCs w:val="16"/>
        </w:rPr>
        <w:footnoteRef/>
      </w:r>
      <w:r w:rsidRPr="00187383">
        <w:rPr>
          <w:sz w:val="16"/>
          <w:szCs w:val="16"/>
          <w:lang w:val="es-MX"/>
        </w:rPr>
        <w:tab/>
        <w:t xml:space="preserve">Para las actividades secundarias, la estimación se presenta únicamente para </w:t>
      </w:r>
      <w:r w:rsidR="00245045">
        <w:rPr>
          <w:sz w:val="16"/>
          <w:szCs w:val="16"/>
          <w:lang w:val="es-MX"/>
        </w:rPr>
        <w:t>octubre</w:t>
      </w:r>
      <w:r w:rsidR="0056492F">
        <w:rPr>
          <w:sz w:val="16"/>
          <w:szCs w:val="16"/>
          <w:lang w:val="es-MX"/>
        </w:rPr>
        <w:t xml:space="preserve"> </w:t>
      </w:r>
      <w:r w:rsidRPr="00187383">
        <w:rPr>
          <w:sz w:val="16"/>
          <w:szCs w:val="16"/>
          <w:lang w:val="es-MX"/>
        </w:rPr>
        <w:t>de 202</w:t>
      </w:r>
      <w:r w:rsidR="009C1033" w:rsidRPr="00187383">
        <w:rPr>
          <w:sz w:val="16"/>
          <w:szCs w:val="16"/>
          <w:lang w:val="es-MX"/>
        </w:rPr>
        <w:t>4</w:t>
      </w:r>
      <w:r w:rsidRPr="00187383">
        <w:rPr>
          <w:sz w:val="16"/>
          <w:szCs w:val="16"/>
          <w:lang w:val="es-MX"/>
        </w:rPr>
        <w:t>.</w:t>
      </w:r>
    </w:p>
  </w:footnote>
  <w:footnote w:id="4">
    <w:p w14:paraId="1C111FA3" w14:textId="10193C36" w:rsidR="002E690E" w:rsidRPr="00187383" w:rsidRDefault="002E690E" w:rsidP="002E690E">
      <w:pPr>
        <w:pStyle w:val="pie"/>
        <w:spacing w:after="0"/>
        <w:rPr>
          <w:rStyle w:val="pieCar"/>
        </w:rPr>
      </w:pPr>
      <w:r w:rsidRPr="00187383">
        <w:rPr>
          <w:rStyle w:val="Refdenotaalpie"/>
        </w:rPr>
        <w:footnoteRef/>
      </w:r>
      <w:r w:rsidRPr="00187383">
        <w:tab/>
      </w:r>
      <w:r w:rsidRPr="00187383">
        <w:rPr>
          <w:rStyle w:val="pieCar"/>
        </w:rPr>
        <w:t xml:space="preserve">Doz, C., Giannone, D., y Reichlin, L. (2011). «A two-step estimator for large approximate dynamic factor models based on Kalman filtering», </w:t>
      </w:r>
      <w:r w:rsidRPr="00187383">
        <w:rPr>
          <w:rStyle w:val="pieCar"/>
          <w:i/>
          <w:iCs/>
        </w:rPr>
        <w:t>Journal of Econometrics</w:t>
      </w:r>
      <w:r w:rsidRPr="00187383">
        <w:rPr>
          <w:rStyle w:val="pieCar"/>
        </w:rPr>
        <w:t>, 164(1):</w:t>
      </w:r>
      <w:r w:rsidR="007461AF">
        <w:rPr>
          <w:rStyle w:val="pieCar"/>
        </w:rPr>
        <w:t xml:space="preserve"> </w:t>
      </w:r>
      <w:r w:rsidRPr="00187383">
        <w:rPr>
          <w:rStyle w:val="pieCar"/>
        </w:rPr>
        <w:t>188-205.</w:t>
      </w:r>
    </w:p>
  </w:footnote>
  <w:footnote w:id="5">
    <w:p w14:paraId="57F77479" w14:textId="2BAC63F0" w:rsidR="002E690E" w:rsidRPr="00187383" w:rsidRDefault="002E690E" w:rsidP="002E690E">
      <w:pPr>
        <w:pStyle w:val="pie"/>
        <w:spacing w:after="0"/>
        <w:rPr>
          <w:lang w:val="es-MX"/>
        </w:rPr>
      </w:pPr>
      <w:r w:rsidRPr="00187383">
        <w:rPr>
          <w:rStyle w:val="Refdenotaalpie"/>
        </w:rPr>
        <w:footnoteRef/>
      </w:r>
      <w:r w:rsidRPr="00187383">
        <w:rPr>
          <w:lang w:val="es-MX"/>
        </w:rPr>
        <w:tab/>
        <w:t xml:space="preserve">Estos supuestos son la </w:t>
      </w:r>
      <w:r w:rsidR="00960135" w:rsidRPr="00187383">
        <w:rPr>
          <w:lang w:val="es-MX"/>
        </w:rPr>
        <w:t>estacionariedad</w:t>
      </w:r>
      <w:r w:rsidRPr="00187383">
        <w:rPr>
          <w:lang w:val="es-MX"/>
        </w:rPr>
        <w:t xml:space="preserve"> en el componente idiosincrático del modelo de factores dinámicos y la no presencia de autocorrelación serial en el modelo de</w:t>
      </w:r>
      <w:r w:rsidRPr="00187383">
        <w:rPr>
          <w:i/>
          <w:iCs/>
          <w:lang w:val="es-MX"/>
        </w:rPr>
        <w:t xml:space="preserve"> </w:t>
      </w:r>
      <w:r w:rsidRPr="00187383">
        <w:rPr>
          <w:i/>
          <w:iCs/>
          <w:lang w:val="es-MX"/>
        </w:rPr>
        <w:t>nowcasting</w:t>
      </w:r>
      <w:r w:rsidRPr="00187383">
        <w:rPr>
          <w:lang w:val="es-MX"/>
        </w:rPr>
        <w:t xml:space="preserve">. </w:t>
      </w:r>
    </w:p>
  </w:footnote>
  <w:footnote w:id="6">
    <w:p w14:paraId="4B3C3201" w14:textId="7F30D957" w:rsidR="002E690E" w:rsidRDefault="002E690E" w:rsidP="002E690E">
      <w:pPr>
        <w:pStyle w:val="pie"/>
        <w:spacing w:after="0"/>
        <w:rPr>
          <w:sz w:val="20"/>
          <w:szCs w:val="20"/>
          <w:lang w:val="es-MX"/>
        </w:rPr>
      </w:pPr>
      <w:r w:rsidRPr="00187383">
        <w:rPr>
          <w:rStyle w:val="Refdenotaalpie"/>
        </w:rPr>
        <w:footnoteRef/>
      </w:r>
      <w:r w:rsidRPr="00187383">
        <w:rPr>
          <w:lang w:val="es-MX"/>
        </w:rPr>
        <w:tab/>
        <w:t>Conforme se identifiquen y se tengan disponibles otras fuentes no tradicionales de información de alta oportunidad y frecuencia, se podrán incorporar en el modelo</w:t>
      </w:r>
      <w:r w:rsidR="007461AF">
        <w:rPr>
          <w:lang w:val="es-MX"/>
        </w:rPr>
        <w:t>,</w:t>
      </w:r>
      <w:r w:rsidRPr="00187383">
        <w:rPr>
          <w:lang w:val="es-MX"/>
        </w:rPr>
        <w:t xml:space="preserve"> toda vez que ayuden a lograr estimaciones más oportunas o precisas.</w:t>
      </w:r>
    </w:p>
  </w:footnote>
  <w:footnote w:id="7">
    <w:p w14:paraId="5F57275A" w14:textId="350C013A" w:rsidR="002E690E" w:rsidRPr="00187383" w:rsidRDefault="002E690E" w:rsidP="002E690E">
      <w:pPr>
        <w:pStyle w:val="pie"/>
        <w:spacing w:after="0"/>
        <w:rPr>
          <w:lang w:val="es-MX"/>
        </w:rPr>
      </w:pPr>
      <w:r w:rsidRPr="00187383">
        <w:rPr>
          <w:rStyle w:val="Refdenotaalpie"/>
        </w:rPr>
        <w:footnoteRef/>
      </w:r>
      <w:r w:rsidRPr="00187383">
        <w:rPr>
          <w:lang w:val="es-MX"/>
        </w:rPr>
        <w:tab/>
        <w:t xml:space="preserve">Los </w:t>
      </w:r>
      <w:r w:rsidRPr="00187383">
        <w:rPr>
          <w:i/>
          <w:iCs/>
          <w:lang w:val="es-MX"/>
        </w:rPr>
        <w:t>nowcasts</w:t>
      </w:r>
      <w:r w:rsidRPr="00187383">
        <w:rPr>
          <w:lang w:val="es-MX"/>
        </w:rPr>
        <w:t xml:space="preserve"> son sujetos a revisiones según el error de estimación en periodos de validación cruzada para series de tiempo. Se pueden utilizar métodos de reconciliación de cifras cuando el error de estimación sea menor respecto a métodos directos de estimación y modelos de </w:t>
      </w:r>
      <w:r w:rsidRPr="00187383">
        <w:rPr>
          <w:i/>
          <w:iCs/>
          <w:lang w:val="es-MX"/>
        </w:rPr>
        <w:t>nowcasting</w:t>
      </w:r>
      <w:r w:rsidRPr="00187383">
        <w:rPr>
          <w:lang w:val="es-MX"/>
        </w:rPr>
        <w:t xml:space="preserve"> con diferentes especificaciones: niveles, variaciones porcentuales mensuales o anuales. Lo anterior, para la realización de los </w:t>
      </w:r>
      <w:r w:rsidRPr="00187383">
        <w:rPr>
          <w:i/>
          <w:iCs/>
          <w:lang w:val="es-MX"/>
        </w:rPr>
        <w:t xml:space="preserve">nowcasts </w:t>
      </w:r>
      <w:r w:rsidRPr="00187383">
        <w:rPr>
          <w:lang w:val="es-MX"/>
        </w:rPr>
        <w:t xml:space="preserve">y modelos de explicación. Además, según análisis en tiempo «pseudo-real», se pueden utilizar </w:t>
      </w:r>
      <w:r w:rsidRPr="00187383">
        <w:rPr>
          <w:i/>
          <w:iCs/>
          <w:lang w:val="es-MX"/>
        </w:rPr>
        <w:t>nowcasts</w:t>
      </w:r>
      <w:r w:rsidRPr="00187383">
        <w:rPr>
          <w:lang w:val="es-MX"/>
        </w:rPr>
        <w:t xml:space="preserve"> provenientes solo de modelos con menor error de estimación.</w:t>
      </w:r>
    </w:p>
  </w:footnote>
  <w:footnote w:id="8">
    <w:p w14:paraId="2D8DA37A" w14:textId="0A9FFEFE" w:rsidR="002E690E" w:rsidRPr="00187383" w:rsidRDefault="002E690E" w:rsidP="002E690E">
      <w:pPr>
        <w:pStyle w:val="pie"/>
        <w:spacing w:after="0"/>
        <w:rPr>
          <w:i/>
          <w:iCs/>
          <w:lang w:val="es-MX"/>
        </w:rPr>
      </w:pPr>
      <w:r w:rsidRPr="00187383">
        <w:rPr>
          <w:rStyle w:val="Refdenotaalpie"/>
          <w:lang w:val="es-MX"/>
        </w:rPr>
        <w:footnoteRef/>
      </w:r>
      <w:r w:rsidRPr="00187383">
        <w:rPr>
          <w:lang w:val="es-MX"/>
        </w:rPr>
        <w:tab/>
        <w:t>Los intervalos de confianza no son necesariamente simétricos: su estimación considera la mediana de los intervalos inferior y superior a 95</w:t>
      </w:r>
      <w:r w:rsidR="00AD2948">
        <w:rPr>
          <w:lang w:val="es-MX"/>
        </w:rPr>
        <w:t>.0</w:t>
      </w:r>
      <w:r w:rsidRPr="00187383">
        <w:rPr>
          <w:lang w:val="es-MX"/>
        </w:rPr>
        <w:t xml:space="preserve"> % para los modelos que, en datos de prueba, otorgan </w:t>
      </w:r>
      <w:r w:rsidRPr="00187383">
        <w:rPr>
          <w:i/>
          <w:iCs/>
          <w:lang w:val="es-MX"/>
        </w:rPr>
        <w:t>nowcasts</w:t>
      </w:r>
      <w:r w:rsidRPr="00187383">
        <w:rPr>
          <w:lang w:val="es-MX"/>
        </w:rPr>
        <w:t xml:space="preserve"> con errores estadísticamente iguales según la prueba de Diebold-Mariano. En caso de utilizarse el método indirecto de estimación, la amplitud del intervalo del</w:t>
      </w:r>
      <w:r w:rsidRPr="00187383">
        <w:rPr>
          <w:i/>
          <w:iCs/>
          <w:lang w:val="es-MX"/>
        </w:rPr>
        <w:t xml:space="preserve"> nowcast</w:t>
      </w:r>
      <w:r w:rsidRPr="00187383">
        <w:rPr>
          <w:lang w:val="es-MX"/>
        </w:rPr>
        <w:t xml:space="preserve"> del </w:t>
      </w:r>
      <w:r w:rsidR="00117217" w:rsidRPr="00187383">
        <w:rPr>
          <w:smallCaps/>
          <w:lang w:val="es-MX"/>
        </w:rPr>
        <w:t>ioae</w:t>
      </w:r>
      <w:r w:rsidR="00117217" w:rsidRPr="00187383">
        <w:rPr>
          <w:lang w:val="es-MX"/>
        </w:rPr>
        <w:t xml:space="preserve"> </w:t>
      </w:r>
      <w:r w:rsidRPr="00187383">
        <w:rPr>
          <w:lang w:val="es-MX"/>
        </w:rPr>
        <w:t>dos meses hacia adelante considera la del método directo.</w:t>
      </w:r>
    </w:p>
  </w:footnote>
  <w:footnote w:id="9">
    <w:p w14:paraId="2DC55BDC" w14:textId="77777777" w:rsidR="002E690E" w:rsidRDefault="002E690E" w:rsidP="002E690E">
      <w:pPr>
        <w:pStyle w:val="Estilo1pie"/>
      </w:pPr>
      <w:r w:rsidRPr="00187383">
        <w:rPr>
          <w:rStyle w:val="Refdenotaalpie"/>
        </w:rPr>
        <w:footnoteRef/>
      </w:r>
      <w:r w:rsidRPr="00187383">
        <w:tab/>
        <w:t xml:space="preserve">El número de variables —y, por lo tanto, las series de tiempo efectivamente consideradas en la estimación del modelo— puede modificarse conforme disminuya el error de estimación en el periodo de validación cruzada, fase en la cual se seleccionan los modelos de </w:t>
      </w:r>
      <w:r w:rsidRPr="00187383">
        <w:rPr>
          <w:i/>
          <w:iCs/>
        </w:rPr>
        <w:t>nowcasting</w:t>
      </w:r>
      <w:r w:rsidRPr="00187383">
        <w:t>. Lo anterior incluye la forma funcional del modelo, es decir, la especificación de la variable a estimar.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96F1E" w14:textId="77777777" w:rsidR="00895E7B" w:rsidRDefault="00895E7B" w:rsidP="00895E7B">
    <w:r w:rsidRPr="008B3F36">
      <w:rPr>
        <w:rFonts w:ascii="Arial Negrita" w:hAnsi="Arial Negrita"/>
        <w:noProof/>
        <w:color w:val="003057"/>
        <w14:ligatures w14:val="standardContextual"/>
      </w:rPr>
      <w:drawing>
        <wp:anchor distT="0" distB="0" distL="114300" distR="114300" simplePos="0" relativeHeight="251659264" behindDoc="0" locked="0" layoutInCell="1" allowOverlap="1" wp14:anchorId="508C7077" wp14:editId="36C36D9B">
          <wp:simplePos x="0" y="0"/>
          <wp:positionH relativeFrom="margin">
            <wp:posOffset>-12976</wp:posOffset>
          </wp:positionH>
          <wp:positionV relativeFrom="paragraph">
            <wp:posOffset>-32385</wp:posOffset>
          </wp:positionV>
          <wp:extent cx="1673225" cy="795020"/>
          <wp:effectExtent l="0" t="0" r="3175" b="0"/>
          <wp:wrapSquare wrapText="bothSides"/>
          <wp:docPr id="1799583202" name="Imagen 179958320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rotWithShape="1">
                  <a:blip r:embed="rId1">
                    <a:extLst>
                      <a:ext uri="{28A0092B-C50C-407E-A947-70E740481C1C}">
                        <a14:useLocalDpi xmlns:a14="http://schemas.microsoft.com/office/drawing/2010/main" val="0"/>
                      </a:ext>
                    </a:extLst>
                  </a:blip>
                  <a:srcRect r="39347"/>
                  <a:stretch/>
                </pic:blipFill>
                <pic:spPr bwMode="auto">
                  <a:xfrm>
                    <a:off x="0" y="0"/>
                    <a:ext cx="1673225" cy="79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89ACE" w14:textId="4B1F43CB" w:rsidR="00895E7B" w:rsidRPr="008B3F36" w:rsidRDefault="00895E7B" w:rsidP="00895E7B">
    <w:pPr>
      <w:pStyle w:val="Encabezado"/>
      <w:ind w:left="-142" w:right="49" w:hanging="142"/>
      <w:jc w:val="right"/>
      <w:rPr>
        <w:rFonts w:ascii="Arial Negrita" w:hAnsi="Arial Negrita"/>
        <w:b/>
        <w:color w:val="003057"/>
        <w:lang w:val="pt-BR"/>
      </w:rPr>
    </w:pPr>
    <w:r w:rsidRPr="008B3F36">
      <w:rPr>
        <w:rFonts w:ascii="Arial Negrita" w:hAnsi="Arial Negrita"/>
        <w:b/>
        <w:color w:val="003057"/>
      </w:rPr>
      <w:t xml:space="preserve">Comunicado de prensa número </w:t>
    </w:r>
    <w:r>
      <w:rPr>
        <w:rFonts w:ascii="Arial Negrita" w:hAnsi="Arial Negrita"/>
        <w:b/>
        <w:color w:val="003057"/>
      </w:rPr>
      <w:t>671</w:t>
    </w:r>
    <w:r w:rsidRPr="008B3F36">
      <w:rPr>
        <w:rFonts w:ascii="Arial Negrita" w:hAnsi="Arial Negrita"/>
        <w:b/>
        <w:color w:val="003057"/>
      </w:rPr>
      <w:t>/24</w:t>
    </w:r>
  </w:p>
  <w:p w14:paraId="44C7A08F" w14:textId="0978AD00" w:rsidR="00895E7B" w:rsidRPr="008B3F36" w:rsidRDefault="00895E7B" w:rsidP="00895E7B">
    <w:pPr>
      <w:pStyle w:val="Encabezado"/>
      <w:tabs>
        <w:tab w:val="clear" w:pos="4320"/>
        <w:tab w:val="clear" w:pos="8640"/>
      </w:tabs>
      <w:ind w:left="-567" w:right="49"/>
      <w:jc w:val="right"/>
      <w:rPr>
        <w:rFonts w:ascii="Arial Negrita" w:hAnsi="Arial Negrita"/>
        <w:b/>
        <w:color w:val="003057"/>
        <w:lang w:val="pt-BR"/>
      </w:rPr>
    </w:pPr>
    <w:r>
      <w:rPr>
        <w:rFonts w:ascii="Arial Negrita" w:hAnsi="Arial Negrita"/>
        <w:b/>
        <w:color w:val="003057"/>
        <w:lang w:val="pt-BR"/>
      </w:rPr>
      <w:t>20 de noviembre</w:t>
    </w:r>
    <w:r w:rsidRPr="008B3F36">
      <w:rPr>
        <w:rFonts w:ascii="Arial Negrita" w:hAnsi="Arial Negrita"/>
        <w:b/>
        <w:color w:val="003057"/>
        <w:lang w:val="pt-BR"/>
      </w:rPr>
      <w:t xml:space="preserve"> de 2024</w:t>
    </w:r>
  </w:p>
  <w:p w14:paraId="396771FB" w14:textId="45B3E3DD" w:rsidR="00895E7B" w:rsidRPr="008B3F36" w:rsidRDefault="00895E7B" w:rsidP="00895E7B">
    <w:pPr>
      <w:pStyle w:val="Encabezado"/>
      <w:ind w:left="-567" w:right="49"/>
      <w:jc w:val="right"/>
      <w:rPr>
        <w:rFonts w:ascii="Arial Negrita" w:hAnsi="Arial Negrita"/>
        <w:b/>
        <w:color w:val="003057"/>
      </w:rPr>
    </w:pPr>
    <w:r w:rsidRPr="008B3F36">
      <w:rPr>
        <w:rFonts w:ascii="Arial Negrita" w:hAnsi="Arial Negrita"/>
        <w:b/>
        <w:color w:val="003057"/>
      </w:rPr>
      <w:t xml:space="preserve">Página </w:t>
    </w:r>
    <w:r w:rsidRPr="008B3F36">
      <w:rPr>
        <w:rFonts w:ascii="Arial Negrita" w:hAnsi="Arial Negrita"/>
        <w:b/>
        <w:color w:val="003057"/>
      </w:rPr>
      <w:fldChar w:fldCharType="begin"/>
    </w:r>
    <w:r w:rsidRPr="008B3F36">
      <w:rPr>
        <w:rFonts w:ascii="Arial Negrita" w:hAnsi="Arial Negrita"/>
        <w:b/>
        <w:color w:val="003057"/>
      </w:rPr>
      <w:instrText xml:space="preserve"> PAGE  \* Arabic </w:instrText>
    </w:r>
    <w:r w:rsidRPr="008B3F36">
      <w:rPr>
        <w:rFonts w:ascii="Arial Negrita" w:hAnsi="Arial Negrita"/>
        <w:b/>
        <w:color w:val="003057"/>
      </w:rPr>
      <w:fldChar w:fldCharType="separate"/>
    </w:r>
    <w:r w:rsidRPr="008B3F36">
      <w:rPr>
        <w:rFonts w:ascii="Arial Negrita" w:hAnsi="Arial Negrita"/>
        <w:b/>
        <w:color w:val="003057"/>
      </w:rPr>
      <w:t>1</w:t>
    </w:r>
    <w:r w:rsidRPr="008B3F36">
      <w:rPr>
        <w:rFonts w:ascii="Arial Negrita" w:hAnsi="Arial Negrita"/>
        <w:b/>
        <w:color w:val="003057"/>
      </w:rPr>
      <w:fldChar w:fldCharType="end"/>
    </w:r>
    <w:r w:rsidRPr="008B3F36">
      <w:rPr>
        <w:rFonts w:ascii="Arial Negrita" w:hAnsi="Arial Negrita"/>
        <w:b/>
        <w:color w:val="003057"/>
      </w:rPr>
      <w:t>/</w:t>
    </w:r>
    <w:r w:rsidR="00A43FDA">
      <w:rPr>
        <w:rFonts w:ascii="Arial Negrita" w:hAnsi="Arial Negrita"/>
        <w:b/>
        <w:color w:val="003057"/>
      </w:rPr>
      <w:t>9</w:t>
    </w:r>
  </w:p>
  <w:p w14:paraId="32191F33" w14:textId="567FF3EC" w:rsidR="009A7196" w:rsidRDefault="009A7196" w:rsidP="008E29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7FD2D81"/>
    <w:multiLevelType w:val="hybridMultilevel"/>
    <w:tmpl w:val="AD94AEB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DE4635B"/>
    <w:multiLevelType w:val="singleLevel"/>
    <w:tmpl w:val="A744799E"/>
    <w:lvl w:ilvl="0">
      <w:numFmt w:val="decimal"/>
      <w:lvlText w:val="*"/>
      <w:lvlJc w:val="left"/>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E6786"/>
    <w:multiLevelType w:val="hybridMultilevel"/>
    <w:tmpl w:val="29B2E630"/>
    <w:lvl w:ilvl="0" w:tplc="25C45548">
      <w:numFmt w:val="bullet"/>
      <w:lvlText w:val="-"/>
      <w:lvlJc w:val="left"/>
      <w:pPr>
        <w:ind w:left="1068" w:hanging="360"/>
      </w:pPr>
      <w:rPr>
        <w:rFonts w:ascii="Arial" w:eastAsiaTheme="minorHAnsi"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7D42170"/>
    <w:multiLevelType w:val="hybridMultilevel"/>
    <w:tmpl w:val="FA84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952664E"/>
    <w:multiLevelType w:val="hybridMultilevel"/>
    <w:tmpl w:val="0380A530"/>
    <w:lvl w:ilvl="0" w:tplc="4E22E71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709186697">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1015034259">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927379207">
    <w:abstractNumId w:val="3"/>
  </w:num>
  <w:num w:numId="4" w16cid:durableId="338507105">
    <w:abstractNumId w:val="6"/>
  </w:num>
  <w:num w:numId="5" w16cid:durableId="1194147159">
    <w:abstractNumId w:val="7"/>
  </w:num>
  <w:num w:numId="6" w16cid:durableId="1738434576">
    <w:abstractNumId w:val="1"/>
  </w:num>
  <w:num w:numId="7" w16cid:durableId="282539996">
    <w:abstractNumId w:val="4"/>
  </w:num>
  <w:num w:numId="8" w16cid:durableId="1647321716">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1475951153">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746414536">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2061712279">
    <w:abstractNumId w:val="19"/>
  </w:num>
  <w:num w:numId="12" w16cid:durableId="339164185">
    <w:abstractNumId w:val="20"/>
  </w:num>
  <w:num w:numId="13" w16cid:durableId="478154899">
    <w:abstractNumId w:val="21"/>
  </w:num>
  <w:num w:numId="14" w16cid:durableId="1284458642">
    <w:abstractNumId w:val="12"/>
  </w:num>
  <w:num w:numId="15" w16cid:durableId="1431272197">
    <w:abstractNumId w:val="8"/>
  </w:num>
  <w:num w:numId="16" w16cid:durableId="1397314159">
    <w:abstractNumId w:val="16"/>
  </w:num>
  <w:num w:numId="17" w16cid:durableId="831288049">
    <w:abstractNumId w:val="11"/>
  </w:num>
  <w:num w:numId="18" w16cid:durableId="1291008768">
    <w:abstractNumId w:val="14"/>
  </w:num>
  <w:num w:numId="19" w16cid:durableId="1267616692">
    <w:abstractNumId w:val="5"/>
  </w:num>
  <w:num w:numId="20" w16cid:durableId="587925716">
    <w:abstractNumId w:val="2"/>
  </w:num>
  <w:num w:numId="21" w16cid:durableId="245386179">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16cid:durableId="1822849476">
    <w:abstractNumId w:val="9"/>
  </w:num>
  <w:num w:numId="23" w16cid:durableId="870260358">
    <w:abstractNumId w:val="13"/>
  </w:num>
  <w:num w:numId="24" w16cid:durableId="2101481158">
    <w:abstractNumId w:val="15"/>
  </w:num>
  <w:num w:numId="25" w16cid:durableId="443042849">
    <w:abstractNumId w:val="17"/>
  </w:num>
  <w:num w:numId="26" w16cid:durableId="176693958">
    <w:abstractNumId w:val="18"/>
  </w:num>
  <w:num w:numId="27" w16cid:durableId="826751556">
    <w:abstractNumId w:val="10"/>
  </w:num>
  <w:num w:numId="28" w16cid:durableId="7444965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intFractionalCharacterWidth/>
  <w:embedSystemFonts/>
  <w:activeWritingStyle w:appName="MSWord" w:lang="en-U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8F8"/>
    <w:rsid w:val="000009A7"/>
    <w:rsid w:val="00000BEA"/>
    <w:rsid w:val="0000180F"/>
    <w:rsid w:val="00002466"/>
    <w:rsid w:val="00002665"/>
    <w:rsid w:val="000027BD"/>
    <w:rsid w:val="00002B26"/>
    <w:rsid w:val="00002BA8"/>
    <w:rsid w:val="00003A53"/>
    <w:rsid w:val="00003C25"/>
    <w:rsid w:val="00003C68"/>
    <w:rsid w:val="00004291"/>
    <w:rsid w:val="00004360"/>
    <w:rsid w:val="0000458A"/>
    <w:rsid w:val="000050C6"/>
    <w:rsid w:val="00005940"/>
    <w:rsid w:val="00006B5A"/>
    <w:rsid w:val="000078B1"/>
    <w:rsid w:val="00007A1A"/>
    <w:rsid w:val="000104ED"/>
    <w:rsid w:val="00010A59"/>
    <w:rsid w:val="00010A6C"/>
    <w:rsid w:val="000112A7"/>
    <w:rsid w:val="0001151F"/>
    <w:rsid w:val="00011840"/>
    <w:rsid w:val="00011AC0"/>
    <w:rsid w:val="00011BD3"/>
    <w:rsid w:val="00011D28"/>
    <w:rsid w:val="0001211A"/>
    <w:rsid w:val="00012278"/>
    <w:rsid w:val="0001235F"/>
    <w:rsid w:val="00012A27"/>
    <w:rsid w:val="00012E16"/>
    <w:rsid w:val="0001302A"/>
    <w:rsid w:val="00013212"/>
    <w:rsid w:val="000132A4"/>
    <w:rsid w:val="00013319"/>
    <w:rsid w:val="00013E55"/>
    <w:rsid w:val="000141A8"/>
    <w:rsid w:val="0001447E"/>
    <w:rsid w:val="000144ED"/>
    <w:rsid w:val="00014758"/>
    <w:rsid w:val="00014FBD"/>
    <w:rsid w:val="00015302"/>
    <w:rsid w:val="0001578F"/>
    <w:rsid w:val="00015CDC"/>
    <w:rsid w:val="00016590"/>
    <w:rsid w:val="00016B4E"/>
    <w:rsid w:val="00016D3A"/>
    <w:rsid w:val="00016EE2"/>
    <w:rsid w:val="0001718D"/>
    <w:rsid w:val="000176AC"/>
    <w:rsid w:val="00020275"/>
    <w:rsid w:val="0002097D"/>
    <w:rsid w:val="00021432"/>
    <w:rsid w:val="00021492"/>
    <w:rsid w:val="000216A3"/>
    <w:rsid w:val="00022469"/>
    <w:rsid w:val="00022557"/>
    <w:rsid w:val="000228C4"/>
    <w:rsid w:val="00022CA3"/>
    <w:rsid w:val="00022D8E"/>
    <w:rsid w:val="00022E0E"/>
    <w:rsid w:val="000239A5"/>
    <w:rsid w:val="00024146"/>
    <w:rsid w:val="00024AC7"/>
    <w:rsid w:val="00024FC6"/>
    <w:rsid w:val="00025B42"/>
    <w:rsid w:val="000260EE"/>
    <w:rsid w:val="00026B3C"/>
    <w:rsid w:val="00026B52"/>
    <w:rsid w:val="0002754B"/>
    <w:rsid w:val="000300AA"/>
    <w:rsid w:val="00030480"/>
    <w:rsid w:val="0003065F"/>
    <w:rsid w:val="0003076D"/>
    <w:rsid w:val="00030D10"/>
    <w:rsid w:val="00031091"/>
    <w:rsid w:val="00031231"/>
    <w:rsid w:val="000314D3"/>
    <w:rsid w:val="00031BCF"/>
    <w:rsid w:val="00031D9C"/>
    <w:rsid w:val="00032970"/>
    <w:rsid w:val="00032B16"/>
    <w:rsid w:val="00033603"/>
    <w:rsid w:val="000337B6"/>
    <w:rsid w:val="00033A14"/>
    <w:rsid w:val="00034448"/>
    <w:rsid w:val="0003447A"/>
    <w:rsid w:val="00034BC3"/>
    <w:rsid w:val="00035376"/>
    <w:rsid w:val="000353F3"/>
    <w:rsid w:val="00035600"/>
    <w:rsid w:val="00035B2D"/>
    <w:rsid w:val="00035DA7"/>
    <w:rsid w:val="00036D72"/>
    <w:rsid w:val="00037089"/>
    <w:rsid w:val="00037177"/>
    <w:rsid w:val="000374F4"/>
    <w:rsid w:val="00037CC4"/>
    <w:rsid w:val="0004066E"/>
    <w:rsid w:val="00040F75"/>
    <w:rsid w:val="000415AB"/>
    <w:rsid w:val="00041FF7"/>
    <w:rsid w:val="0004225C"/>
    <w:rsid w:val="00042909"/>
    <w:rsid w:val="00043535"/>
    <w:rsid w:val="000436EA"/>
    <w:rsid w:val="00043B32"/>
    <w:rsid w:val="00043B8A"/>
    <w:rsid w:val="00043E2B"/>
    <w:rsid w:val="0004427A"/>
    <w:rsid w:val="00044296"/>
    <w:rsid w:val="00044699"/>
    <w:rsid w:val="00044700"/>
    <w:rsid w:val="000449E6"/>
    <w:rsid w:val="00044C5E"/>
    <w:rsid w:val="0004538A"/>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CE5"/>
    <w:rsid w:val="00050FB5"/>
    <w:rsid w:val="000516A0"/>
    <w:rsid w:val="000518C7"/>
    <w:rsid w:val="00051C72"/>
    <w:rsid w:val="00051D1C"/>
    <w:rsid w:val="00051D9E"/>
    <w:rsid w:val="00052F04"/>
    <w:rsid w:val="00052F1E"/>
    <w:rsid w:val="000531CF"/>
    <w:rsid w:val="000536D2"/>
    <w:rsid w:val="00053A2C"/>
    <w:rsid w:val="00053B2C"/>
    <w:rsid w:val="00053EB7"/>
    <w:rsid w:val="00053F58"/>
    <w:rsid w:val="00054A4F"/>
    <w:rsid w:val="00055047"/>
    <w:rsid w:val="00055B54"/>
    <w:rsid w:val="00056942"/>
    <w:rsid w:val="00056F51"/>
    <w:rsid w:val="000573F5"/>
    <w:rsid w:val="00057B47"/>
    <w:rsid w:val="00057DFD"/>
    <w:rsid w:val="00057F37"/>
    <w:rsid w:val="000602B0"/>
    <w:rsid w:val="0006056C"/>
    <w:rsid w:val="000607F1"/>
    <w:rsid w:val="00061109"/>
    <w:rsid w:val="0006228A"/>
    <w:rsid w:val="00062398"/>
    <w:rsid w:val="0006265F"/>
    <w:rsid w:val="000631F6"/>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6715B"/>
    <w:rsid w:val="0007012A"/>
    <w:rsid w:val="0007017F"/>
    <w:rsid w:val="0007024E"/>
    <w:rsid w:val="00070431"/>
    <w:rsid w:val="00070500"/>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93B"/>
    <w:rsid w:val="00075B3A"/>
    <w:rsid w:val="00075DEC"/>
    <w:rsid w:val="00076234"/>
    <w:rsid w:val="000767F7"/>
    <w:rsid w:val="00076CC9"/>
    <w:rsid w:val="00076EE9"/>
    <w:rsid w:val="000776A1"/>
    <w:rsid w:val="00077C46"/>
    <w:rsid w:val="0008027F"/>
    <w:rsid w:val="000806EB"/>
    <w:rsid w:val="0008084D"/>
    <w:rsid w:val="00080FB7"/>
    <w:rsid w:val="000814ED"/>
    <w:rsid w:val="00081519"/>
    <w:rsid w:val="0008156C"/>
    <w:rsid w:val="0008175A"/>
    <w:rsid w:val="0008177F"/>
    <w:rsid w:val="0008195B"/>
    <w:rsid w:val="00081E9B"/>
    <w:rsid w:val="00081F71"/>
    <w:rsid w:val="000826F7"/>
    <w:rsid w:val="00082C9B"/>
    <w:rsid w:val="00082F11"/>
    <w:rsid w:val="000830EE"/>
    <w:rsid w:val="0008325D"/>
    <w:rsid w:val="000834DD"/>
    <w:rsid w:val="00083AC1"/>
    <w:rsid w:val="000841A2"/>
    <w:rsid w:val="00084687"/>
    <w:rsid w:val="00084A57"/>
    <w:rsid w:val="00084BED"/>
    <w:rsid w:val="00084EDB"/>
    <w:rsid w:val="00084FF2"/>
    <w:rsid w:val="00085120"/>
    <w:rsid w:val="0008524D"/>
    <w:rsid w:val="000856E9"/>
    <w:rsid w:val="00085CEB"/>
    <w:rsid w:val="00086295"/>
    <w:rsid w:val="0008633E"/>
    <w:rsid w:val="0008756B"/>
    <w:rsid w:val="0008798D"/>
    <w:rsid w:val="00087BC9"/>
    <w:rsid w:val="00087DB7"/>
    <w:rsid w:val="00090191"/>
    <w:rsid w:val="0009025D"/>
    <w:rsid w:val="00090997"/>
    <w:rsid w:val="00090B9C"/>
    <w:rsid w:val="00090D10"/>
    <w:rsid w:val="00090D7B"/>
    <w:rsid w:val="00090F4A"/>
    <w:rsid w:val="00091474"/>
    <w:rsid w:val="000915F7"/>
    <w:rsid w:val="000918E3"/>
    <w:rsid w:val="00092764"/>
    <w:rsid w:val="0009292F"/>
    <w:rsid w:val="00092F4C"/>
    <w:rsid w:val="0009313B"/>
    <w:rsid w:val="00094496"/>
    <w:rsid w:val="000950E7"/>
    <w:rsid w:val="00095360"/>
    <w:rsid w:val="000955AA"/>
    <w:rsid w:val="00095692"/>
    <w:rsid w:val="000957BC"/>
    <w:rsid w:val="0009583F"/>
    <w:rsid w:val="00096737"/>
    <w:rsid w:val="00096AED"/>
    <w:rsid w:val="00097B55"/>
    <w:rsid w:val="00097B65"/>
    <w:rsid w:val="00097C0A"/>
    <w:rsid w:val="000A0344"/>
    <w:rsid w:val="000A06B1"/>
    <w:rsid w:val="000A0823"/>
    <w:rsid w:val="000A1C0F"/>
    <w:rsid w:val="000A21D6"/>
    <w:rsid w:val="000A25D5"/>
    <w:rsid w:val="000A2F4F"/>
    <w:rsid w:val="000A2F92"/>
    <w:rsid w:val="000A31EF"/>
    <w:rsid w:val="000A330C"/>
    <w:rsid w:val="000A3354"/>
    <w:rsid w:val="000A3733"/>
    <w:rsid w:val="000A43B0"/>
    <w:rsid w:val="000A451F"/>
    <w:rsid w:val="000A4AF8"/>
    <w:rsid w:val="000A53E6"/>
    <w:rsid w:val="000A574B"/>
    <w:rsid w:val="000A5B04"/>
    <w:rsid w:val="000A5E2A"/>
    <w:rsid w:val="000A5E5E"/>
    <w:rsid w:val="000A643B"/>
    <w:rsid w:val="000A707A"/>
    <w:rsid w:val="000A78BA"/>
    <w:rsid w:val="000A7F53"/>
    <w:rsid w:val="000B003A"/>
    <w:rsid w:val="000B025C"/>
    <w:rsid w:val="000B0710"/>
    <w:rsid w:val="000B1A0E"/>
    <w:rsid w:val="000B1C11"/>
    <w:rsid w:val="000B1D13"/>
    <w:rsid w:val="000B2813"/>
    <w:rsid w:val="000B29B8"/>
    <w:rsid w:val="000B2A10"/>
    <w:rsid w:val="000B2A27"/>
    <w:rsid w:val="000B38D1"/>
    <w:rsid w:val="000B4629"/>
    <w:rsid w:val="000B4A6A"/>
    <w:rsid w:val="000B50FB"/>
    <w:rsid w:val="000B515D"/>
    <w:rsid w:val="000B5A74"/>
    <w:rsid w:val="000B5AC6"/>
    <w:rsid w:val="000B5FA3"/>
    <w:rsid w:val="000B6AF6"/>
    <w:rsid w:val="000B7BDB"/>
    <w:rsid w:val="000B7C7D"/>
    <w:rsid w:val="000C0FEE"/>
    <w:rsid w:val="000C1051"/>
    <w:rsid w:val="000C1F04"/>
    <w:rsid w:val="000C2892"/>
    <w:rsid w:val="000C2B3C"/>
    <w:rsid w:val="000C30D7"/>
    <w:rsid w:val="000C3105"/>
    <w:rsid w:val="000C32C8"/>
    <w:rsid w:val="000C34DD"/>
    <w:rsid w:val="000C37BC"/>
    <w:rsid w:val="000C38BA"/>
    <w:rsid w:val="000C3B87"/>
    <w:rsid w:val="000C482F"/>
    <w:rsid w:val="000C4992"/>
    <w:rsid w:val="000C4C15"/>
    <w:rsid w:val="000C5299"/>
    <w:rsid w:val="000C5468"/>
    <w:rsid w:val="000C55CC"/>
    <w:rsid w:val="000C5852"/>
    <w:rsid w:val="000C5D0E"/>
    <w:rsid w:val="000C6A4A"/>
    <w:rsid w:val="000C6AFD"/>
    <w:rsid w:val="000D06FA"/>
    <w:rsid w:val="000D0825"/>
    <w:rsid w:val="000D0C46"/>
    <w:rsid w:val="000D0DDA"/>
    <w:rsid w:val="000D0ED5"/>
    <w:rsid w:val="000D113E"/>
    <w:rsid w:val="000D1169"/>
    <w:rsid w:val="000D12EA"/>
    <w:rsid w:val="000D15C5"/>
    <w:rsid w:val="000D16F9"/>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3D8"/>
    <w:rsid w:val="000D5EDB"/>
    <w:rsid w:val="000D5FD5"/>
    <w:rsid w:val="000D6C0F"/>
    <w:rsid w:val="000D6F1E"/>
    <w:rsid w:val="000D6F93"/>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3B9"/>
    <w:rsid w:val="000E6D5D"/>
    <w:rsid w:val="000E7078"/>
    <w:rsid w:val="000F0023"/>
    <w:rsid w:val="000F05D5"/>
    <w:rsid w:val="000F1DEB"/>
    <w:rsid w:val="000F30E6"/>
    <w:rsid w:val="000F3491"/>
    <w:rsid w:val="000F3DE6"/>
    <w:rsid w:val="000F44E7"/>
    <w:rsid w:val="000F4716"/>
    <w:rsid w:val="000F49F1"/>
    <w:rsid w:val="000F4B1D"/>
    <w:rsid w:val="000F4C41"/>
    <w:rsid w:val="000F4E66"/>
    <w:rsid w:val="000F4FA7"/>
    <w:rsid w:val="000F536A"/>
    <w:rsid w:val="000F541D"/>
    <w:rsid w:val="000F550B"/>
    <w:rsid w:val="000F5A85"/>
    <w:rsid w:val="000F5AD1"/>
    <w:rsid w:val="000F649E"/>
    <w:rsid w:val="000F69FA"/>
    <w:rsid w:val="000F6F28"/>
    <w:rsid w:val="000F7577"/>
    <w:rsid w:val="000F7892"/>
    <w:rsid w:val="000F7974"/>
    <w:rsid w:val="000F7ECD"/>
    <w:rsid w:val="000F7FB5"/>
    <w:rsid w:val="00100317"/>
    <w:rsid w:val="00100BC7"/>
    <w:rsid w:val="0010113A"/>
    <w:rsid w:val="001011EC"/>
    <w:rsid w:val="001017C1"/>
    <w:rsid w:val="00101A87"/>
    <w:rsid w:val="00101E92"/>
    <w:rsid w:val="00101F40"/>
    <w:rsid w:val="00102206"/>
    <w:rsid w:val="00102729"/>
    <w:rsid w:val="00102B59"/>
    <w:rsid w:val="00103847"/>
    <w:rsid w:val="00103913"/>
    <w:rsid w:val="00105234"/>
    <w:rsid w:val="0010575D"/>
    <w:rsid w:val="00105E2B"/>
    <w:rsid w:val="0010619C"/>
    <w:rsid w:val="0010664D"/>
    <w:rsid w:val="00106CDE"/>
    <w:rsid w:val="001103C8"/>
    <w:rsid w:val="00110510"/>
    <w:rsid w:val="00110559"/>
    <w:rsid w:val="0011076D"/>
    <w:rsid w:val="00110DB1"/>
    <w:rsid w:val="00110DF0"/>
    <w:rsid w:val="001114D0"/>
    <w:rsid w:val="00111703"/>
    <w:rsid w:val="00111AA3"/>
    <w:rsid w:val="00111B2D"/>
    <w:rsid w:val="00111F29"/>
    <w:rsid w:val="00111FA3"/>
    <w:rsid w:val="00113348"/>
    <w:rsid w:val="00113404"/>
    <w:rsid w:val="001134B4"/>
    <w:rsid w:val="00113DE8"/>
    <w:rsid w:val="0011424C"/>
    <w:rsid w:val="0011478A"/>
    <w:rsid w:val="00114B56"/>
    <w:rsid w:val="00114B96"/>
    <w:rsid w:val="00114E47"/>
    <w:rsid w:val="00115A20"/>
    <w:rsid w:val="00116647"/>
    <w:rsid w:val="00116811"/>
    <w:rsid w:val="00116F84"/>
    <w:rsid w:val="00117067"/>
    <w:rsid w:val="00117193"/>
    <w:rsid w:val="001171C9"/>
    <w:rsid w:val="00117217"/>
    <w:rsid w:val="00117302"/>
    <w:rsid w:val="0011763B"/>
    <w:rsid w:val="00117D7A"/>
    <w:rsid w:val="00120112"/>
    <w:rsid w:val="00120283"/>
    <w:rsid w:val="001206BD"/>
    <w:rsid w:val="00120EA1"/>
    <w:rsid w:val="0012181E"/>
    <w:rsid w:val="001219F9"/>
    <w:rsid w:val="00122048"/>
    <w:rsid w:val="0012284C"/>
    <w:rsid w:val="001228A0"/>
    <w:rsid w:val="00122CD2"/>
    <w:rsid w:val="001232B3"/>
    <w:rsid w:val="00123EFF"/>
    <w:rsid w:val="001241F7"/>
    <w:rsid w:val="001245E3"/>
    <w:rsid w:val="00124D1A"/>
    <w:rsid w:val="0012504E"/>
    <w:rsid w:val="001251AF"/>
    <w:rsid w:val="001253B4"/>
    <w:rsid w:val="00125654"/>
    <w:rsid w:val="00125B46"/>
    <w:rsid w:val="00125D0D"/>
    <w:rsid w:val="00125D9D"/>
    <w:rsid w:val="00125F20"/>
    <w:rsid w:val="001263E8"/>
    <w:rsid w:val="00127810"/>
    <w:rsid w:val="00127CE3"/>
    <w:rsid w:val="001301E6"/>
    <w:rsid w:val="001304B0"/>
    <w:rsid w:val="001304F2"/>
    <w:rsid w:val="00130C4C"/>
    <w:rsid w:val="001313EB"/>
    <w:rsid w:val="001315EE"/>
    <w:rsid w:val="0013193B"/>
    <w:rsid w:val="0013222E"/>
    <w:rsid w:val="00132EEF"/>
    <w:rsid w:val="00134741"/>
    <w:rsid w:val="00134904"/>
    <w:rsid w:val="001349AB"/>
    <w:rsid w:val="00134B68"/>
    <w:rsid w:val="00134F4E"/>
    <w:rsid w:val="00134FB0"/>
    <w:rsid w:val="001350AC"/>
    <w:rsid w:val="001352EC"/>
    <w:rsid w:val="00135546"/>
    <w:rsid w:val="00135E0B"/>
    <w:rsid w:val="001361A8"/>
    <w:rsid w:val="001365A5"/>
    <w:rsid w:val="001368CC"/>
    <w:rsid w:val="00136ACB"/>
    <w:rsid w:val="001372CA"/>
    <w:rsid w:val="00137AFD"/>
    <w:rsid w:val="00137E0F"/>
    <w:rsid w:val="0014012A"/>
    <w:rsid w:val="00140AD8"/>
    <w:rsid w:val="00140BE4"/>
    <w:rsid w:val="001411DE"/>
    <w:rsid w:val="00141399"/>
    <w:rsid w:val="00141899"/>
    <w:rsid w:val="001418EF"/>
    <w:rsid w:val="00141A0B"/>
    <w:rsid w:val="00141AF4"/>
    <w:rsid w:val="001427B3"/>
    <w:rsid w:val="00142E09"/>
    <w:rsid w:val="00143153"/>
    <w:rsid w:val="0014377B"/>
    <w:rsid w:val="00143D3A"/>
    <w:rsid w:val="001440AA"/>
    <w:rsid w:val="00145173"/>
    <w:rsid w:val="001455FA"/>
    <w:rsid w:val="0014594B"/>
    <w:rsid w:val="00145A66"/>
    <w:rsid w:val="00145F65"/>
    <w:rsid w:val="001460DD"/>
    <w:rsid w:val="001460E0"/>
    <w:rsid w:val="001467DD"/>
    <w:rsid w:val="00146902"/>
    <w:rsid w:val="00146DFA"/>
    <w:rsid w:val="0015018D"/>
    <w:rsid w:val="00150228"/>
    <w:rsid w:val="001502C3"/>
    <w:rsid w:val="001504E8"/>
    <w:rsid w:val="00150536"/>
    <w:rsid w:val="001533B2"/>
    <w:rsid w:val="001534CA"/>
    <w:rsid w:val="0015369A"/>
    <w:rsid w:val="0015386A"/>
    <w:rsid w:val="001540F9"/>
    <w:rsid w:val="0015461C"/>
    <w:rsid w:val="00154E90"/>
    <w:rsid w:val="001557A9"/>
    <w:rsid w:val="00155878"/>
    <w:rsid w:val="0015599D"/>
    <w:rsid w:val="00155A36"/>
    <w:rsid w:val="00156B20"/>
    <w:rsid w:val="0015755C"/>
    <w:rsid w:val="001577D4"/>
    <w:rsid w:val="001600AB"/>
    <w:rsid w:val="001600C9"/>
    <w:rsid w:val="00160208"/>
    <w:rsid w:val="00160308"/>
    <w:rsid w:val="0016052B"/>
    <w:rsid w:val="00160957"/>
    <w:rsid w:val="00160B56"/>
    <w:rsid w:val="00160C17"/>
    <w:rsid w:val="0016159C"/>
    <w:rsid w:val="00161833"/>
    <w:rsid w:val="00161E62"/>
    <w:rsid w:val="001622CD"/>
    <w:rsid w:val="00162797"/>
    <w:rsid w:val="00162A20"/>
    <w:rsid w:val="00164CD1"/>
    <w:rsid w:val="00164D70"/>
    <w:rsid w:val="001655BD"/>
    <w:rsid w:val="00165810"/>
    <w:rsid w:val="00165E36"/>
    <w:rsid w:val="0016614B"/>
    <w:rsid w:val="001665FD"/>
    <w:rsid w:val="00167A1B"/>
    <w:rsid w:val="00167A72"/>
    <w:rsid w:val="00167DD4"/>
    <w:rsid w:val="0017080F"/>
    <w:rsid w:val="00170972"/>
    <w:rsid w:val="00170BD4"/>
    <w:rsid w:val="001711E3"/>
    <w:rsid w:val="001715D2"/>
    <w:rsid w:val="00171F31"/>
    <w:rsid w:val="00171F36"/>
    <w:rsid w:val="00172353"/>
    <w:rsid w:val="001723FC"/>
    <w:rsid w:val="00172464"/>
    <w:rsid w:val="00172600"/>
    <w:rsid w:val="00172614"/>
    <w:rsid w:val="00172AA4"/>
    <w:rsid w:val="0017308E"/>
    <w:rsid w:val="0017325D"/>
    <w:rsid w:val="00173309"/>
    <w:rsid w:val="0017357E"/>
    <w:rsid w:val="001735A8"/>
    <w:rsid w:val="00173881"/>
    <w:rsid w:val="001738A8"/>
    <w:rsid w:val="00173A79"/>
    <w:rsid w:val="00173CB3"/>
    <w:rsid w:val="001740E5"/>
    <w:rsid w:val="0017446E"/>
    <w:rsid w:val="0017451D"/>
    <w:rsid w:val="00174587"/>
    <w:rsid w:val="0017474C"/>
    <w:rsid w:val="00174783"/>
    <w:rsid w:val="001747CD"/>
    <w:rsid w:val="00175869"/>
    <w:rsid w:val="00175CF4"/>
    <w:rsid w:val="0017618C"/>
    <w:rsid w:val="001763FA"/>
    <w:rsid w:val="001763FC"/>
    <w:rsid w:val="00176592"/>
    <w:rsid w:val="00176E7D"/>
    <w:rsid w:val="00177026"/>
    <w:rsid w:val="00177187"/>
    <w:rsid w:val="001773BC"/>
    <w:rsid w:val="001779E9"/>
    <w:rsid w:val="00177AEC"/>
    <w:rsid w:val="00180887"/>
    <w:rsid w:val="00180A83"/>
    <w:rsid w:val="001813AB"/>
    <w:rsid w:val="001819C6"/>
    <w:rsid w:val="00181AA2"/>
    <w:rsid w:val="00181B78"/>
    <w:rsid w:val="0018211C"/>
    <w:rsid w:val="001821F8"/>
    <w:rsid w:val="00182CBE"/>
    <w:rsid w:val="001831B3"/>
    <w:rsid w:val="001838D5"/>
    <w:rsid w:val="001843F5"/>
    <w:rsid w:val="00184537"/>
    <w:rsid w:val="001845FA"/>
    <w:rsid w:val="00184EBD"/>
    <w:rsid w:val="0018522B"/>
    <w:rsid w:val="001854A8"/>
    <w:rsid w:val="00185D40"/>
    <w:rsid w:val="00186283"/>
    <w:rsid w:val="0018651C"/>
    <w:rsid w:val="00186625"/>
    <w:rsid w:val="00186980"/>
    <w:rsid w:val="00186C17"/>
    <w:rsid w:val="00187383"/>
    <w:rsid w:val="001876B4"/>
    <w:rsid w:val="00187E39"/>
    <w:rsid w:val="00187E87"/>
    <w:rsid w:val="00190180"/>
    <w:rsid w:val="00190A43"/>
    <w:rsid w:val="00190D0B"/>
    <w:rsid w:val="001912FB"/>
    <w:rsid w:val="00191608"/>
    <w:rsid w:val="00191651"/>
    <w:rsid w:val="00191664"/>
    <w:rsid w:val="00192065"/>
    <w:rsid w:val="0019269E"/>
    <w:rsid w:val="00192AB8"/>
    <w:rsid w:val="00193141"/>
    <w:rsid w:val="0019343E"/>
    <w:rsid w:val="001941AA"/>
    <w:rsid w:val="00194F73"/>
    <w:rsid w:val="001952A1"/>
    <w:rsid w:val="0019538D"/>
    <w:rsid w:val="00195EC2"/>
    <w:rsid w:val="00195F99"/>
    <w:rsid w:val="001966BD"/>
    <w:rsid w:val="00196A70"/>
    <w:rsid w:val="00196CB1"/>
    <w:rsid w:val="00197853"/>
    <w:rsid w:val="00197E8D"/>
    <w:rsid w:val="001A016C"/>
    <w:rsid w:val="001A0422"/>
    <w:rsid w:val="001A102F"/>
    <w:rsid w:val="001A1647"/>
    <w:rsid w:val="001A1A27"/>
    <w:rsid w:val="001A1ED0"/>
    <w:rsid w:val="001A2370"/>
    <w:rsid w:val="001A24F7"/>
    <w:rsid w:val="001A3372"/>
    <w:rsid w:val="001A35A6"/>
    <w:rsid w:val="001A368A"/>
    <w:rsid w:val="001A3963"/>
    <w:rsid w:val="001A41DF"/>
    <w:rsid w:val="001A43F5"/>
    <w:rsid w:val="001A4594"/>
    <w:rsid w:val="001A4CF0"/>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1DEC"/>
    <w:rsid w:val="001B253D"/>
    <w:rsid w:val="001B277C"/>
    <w:rsid w:val="001B2C2E"/>
    <w:rsid w:val="001B2C6A"/>
    <w:rsid w:val="001B2F19"/>
    <w:rsid w:val="001B35ED"/>
    <w:rsid w:val="001B369D"/>
    <w:rsid w:val="001B3824"/>
    <w:rsid w:val="001B3BE4"/>
    <w:rsid w:val="001B3E39"/>
    <w:rsid w:val="001B450E"/>
    <w:rsid w:val="001B46DB"/>
    <w:rsid w:val="001B4EA1"/>
    <w:rsid w:val="001B4F75"/>
    <w:rsid w:val="001B544C"/>
    <w:rsid w:val="001B5670"/>
    <w:rsid w:val="001B5DDB"/>
    <w:rsid w:val="001B6006"/>
    <w:rsid w:val="001B62D3"/>
    <w:rsid w:val="001B6372"/>
    <w:rsid w:val="001B6E8C"/>
    <w:rsid w:val="001B74F4"/>
    <w:rsid w:val="001B75DC"/>
    <w:rsid w:val="001B7651"/>
    <w:rsid w:val="001B795A"/>
    <w:rsid w:val="001B7F66"/>
    <w:rsid w:val="001C0136"/>
    <w:rsid w:val="001C0929"/>
    <w:rsid w:val="001C0A6E"/>
    <w:rsid w:val="001C0AD1"/>
    <w:rsid w:val="001C0BCC"/>
    <w:rsid w:val="001C117D"/>
    <w:rsid w:val="001C15B6"/>
    <w:rsid w:val="001C177D"/>
    <w:rsid w:val="001C1F9C"/>
    <w:rsid w:val="001C226A"/>
    <w:rsid w:val="001C236E"/>
    <w:rsid w:val="001C2629"/>
    <w:rsid w:val="001C29E7"/>
    <w:rsid w:val="001C32C6"/>
    <w:rsid w:val="001C348E"/>
    <w:rsid w:val="001C3810"/>
    <w:rsid w:val="001C3E2D"/>
    <w:rsid w:val="001C48C7"/>
    <w:rsid w:val="001C4A9E"/>
    <w:rsid w:val="001C5D78"/>
    <w:rsid w:val="001C6CAB"/>
    <w:rsid w:val="001C6CC1"/>
    <w:rsid w:val="001C7130"/>
    <w:rsid w:val="001C7E70"/>
    <w:rsid w:val="001D0068"/>
    <w:rsid w:val="001D01C6"/>
    <w:rsid w:val="001D092F"/>
    <w:rsid w:val="001D1AEF"/>
    <w:rsid w:val="001D22F2"/>
    <w:rsid w:val="001D244E"/>
    <w:rsid w:val="001D24F1"/>
    <w:rsid w:val="001D34DC"/>
    <w:rsid w:val="001D3AD1"/>
    <w:rsid w:val="001D3B32"/>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9E0"/>
    <w:rsid w:val="001E0A09"/>
    <w:rsid w:val="001E0B64"/>
    <w:rsid w:val="001E14B0"/>
    <w:rsid w:val="001E14E8"/>
    <w:rsid w:val="001E1627"/>
    <w:rsid w:val="001E18BD"/>
    <w:rsid w:val="001E1C1B"/>
    <w:rsid w:val="001E1DBA"/>
    <w:rsid w:val="001E1EF2"/>
    <w:rsid w:val="001E290B"/>
    <w:rsid w:val="001E385F"/>
    <w:rsid w:val="001E39E4"/>
    <w:rsid w:val="001E3F11"/>
    <w:rsid w:val="001E490C"/>
    <w:rsid w:val="001E4C68"/>
    <w:rsid w:val="001E50FD"/>
    <w:rsid w:val="001E5310"/>
    <w:rsid w:val="001E59DC"/>
    <w:rsid w:val="001E5DD7"/>
    <w:rsid w:val="001E5EEE"/>
    <w:rsid w:val="001E6302"/>
    <w:rsid w:val="001E635A"/>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4CDE"/>
    <w:rsid w:val="001F5708"/>
    <w:rsid w:val="001F58D3"/>
    <w:rsid w:val="001F65A4"/>
    <w:rsid w:val="001F65E0"/>
    <w:rsid w:val="001F696A"/>
    <w:rsid w:val="001F6EE3"/>
    <w:rsid w:val="001F720B"/>
    <w:rsid w:val="001F7362"/>
    <w:rsid w:val="001F7AE9"/>
    <w:rsid w:val="001F7CFD"/>
    <w:rsid w:val="00200AFB"/>
    <w:rsid w:val="002011D5"/>
    <w:rsid w:val="00201C2D"/>
    <w:rsid w:val="00201E78"/>
    <w:rsid w:val="0020223F"/>
    <w:rsid w:val="002029DF"/>
    <w:rsid w:val="002031F2"/>
    <w:rsid w:val="00203367"/>
    <w:rsid w:val="002043C5"/>
    <w:rsid w:val="00204438"/>
    <w:rsid w:val="00204A44"/>
    <w:rsid w:val="00204BC8"/>
    <w:rsid w:val="00204DC3"/>
    <w:rsid w:val="00205562"/>
    <w:rsid w:val="00206147"/>
    <w:rsid w:val="002064F3"/>
    <w:rsid w:val="002069A8"/>
    <w:rsid w:val="00206EE7"/>
    <w:rsid w:val="00207559"/>
    <w:rsid w:val="0020789A"/>
    <w:rsid w:val="00207C83"/>
    <w:rsid w:val="00210869"/>
    <w:rsid w:val="00210A4A"/>
    <w:rsid w:val="002116AD"/>
    <w:rsid w:val="00211999"/>
    <w:rsid w:val="002123A4"/>
    <w:rsid w:val="002126CD"/>
    <w:rsid w:val="00212E96"/>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468"/>
    <w:rsid w:val="0022180E"/>
    <w:rsid w:val="002220BA"/>
    <w:rsid w:val="00222220"/>
    <w:rsid w:val="00222644"/>
    <w:rsid w:val="002227B3"/>
    <w:rsid w:val="00222CE3"/>
    <w:rsid w:val="00222FED"/>
    <w:rsid w:val="002234AC"/>
    <w:rsid w:val="002235D7"/>
    <w:rsid w:val="002239C4"/>
    <w:rsid w:val="00223C81"/>
    <w:rsid w:val="00224617"/>
    <w:rsid w:val="00224B4A"/>
    <w:rsid w:val="0022542C"/>
    <w:rsid w:val="00225591"/>
    <w:rsid w:val="00225690"/>
    <w:rsid w:val="0022574F"/>
    <w:rsid w:val="00225920"/>
    <w:rsid w:val="0022593A"/>
    <w:rsid w:val="00225B52"/>
    <w:rsid w:val="00225CE3"/>
    <w:rsid w:val="002260D7"/>
    <w:rsid w:val="002263C1"/>
    <w:rsid w:val="00226B17"/>
    <w:rsid w:val="0022712B"/>
    <w:rsid w:val="00227235"/>
    <w:rsid w:val="002276A4"/>
    <w:rsid w:val="0022779C"/>
    <w:rsid w:val="00227843"/>
    <w:rsid w:val="00227A99"/>
    <w:rsid w:val="00227C8B"/>
    <w:rsid w:val="00230A44"/>
    <w:rsid w:val="00230A52"/>
    <w:rsid w:val="00230FA5"/>
    <w:rsid w:val="00231131"/>
    <w:rsid w:val="00231155"/>
    <w:rsid w:val="002316B3"/>
    <w:rsid w:val="0023170E"/>
    <w:rsid w:val="00231839"/>
    <w:rsid w:val="00231AFE"/>
    <w:rsid w:val="0023262B"/>
    <w:rsid w:val="00232A4E"/>
    <w:rsid w:val="00233541"/>
    <w:rsid w:val="00233A1D"/>
    <w:rsid w:val="00233A7D"/>
    <w:rsid w:val="00233EDD"/>
    <w:rsid w:val="0023482B"/>
    <w:rsid w:val="0023482C"/>
    <w:rsid w:val="002348E4"/>
    <w:rsid w:val="00234AA4"/>
    <w:rsid w:val="00234C7F"/>
    <w:rsid w:val="00234E62"/>
    <w:rsid w:val="00234F8F"/>
    <w:rsid w:val="00235337"/>
    <w:rsid w:val="00235F56"/>
    <w:rsid w:val="0023658F"/>
    <w:rsid w:val="00236872"/>
    <w:rsid w:val="00236890"/>
    <w:rsid w:val="002368C0"/>
    <w:rsid w:val="00236CC2"/>
    <w:rsid w:val="00236CDE"/>
    <w:rsid w:val="00237437"/>
    <w:rsid w:val="0023763A"/>
    <w:rsid w:val="00237769"/>
    <w:rsid w:val="00237D7D"/>
    <w:rsid w:val="002404D1"/>
    <w:rsid w:val="002405C8"/>
    <w:rsid w:val="00240ECB"/>
    <w:rsid w:val="00241168"/>
    <w:rsid w:val="002415DA"/>
    <w:rsid w:val="00241857"/>
    <w:rsid w:val="0024285E"/>
    <w:rsid w:val="00242ACF"/>
    <w:rsid w:val="00242F79"/>
    <w:rsid w:val="00242FA8"/>
    <w:rsid w:val="0024310E"/>
    <w:rsid w:val="00243204"/>
    <w:rsid w:val="00243AC5"/>
    <w:rsid w:val="0024405D"/>
    <w:rsid w:val="00244516"/>
    <w:rsid w:val="002445E0"/>
    <w:rsid w:val="00244748"/>
    <w:rsid w:val="00244CF8"/>
    <w:rsid w:val="00245045"/>
    <w:rsid w:val="002454F0"/>
    <w:rsid w:val="00245B9E"/>
    <w:rsid w:val="002465AC"/>
    <w:rsid w:val="002465EC"/>
    <w:rsid w:val="00246614"/>
    <w:rsid w:val="00246631"/>
    <w:rsid w:val="002467F4"/>
    <w:rsid w:val="00246907"/>
    <w:rsid w:val="00246C0E"/>
    <w:rsid w:val="00246EC9"/>
    <w:rsid w:val="00246FE9"/>
    <w:rsid w:val="00247130"/>
    <w:rsid w:val="0024723E"/>
    <w:rsid w:val="00247760"/>
    <w:rsid w:val="00247E6F"/>
    <w:rsid w:val="00247FD9"/>
    <w:rsid w:val="0025003A"/>
    <w:rsid w:val="00250260"/>
    <w:rsid w:val="002509C8"/>
    <w:rsid w:val="00250FD5"/>
    <w:rsid w:val="002510E9"/>
    <w:rsid w:val="00251167"/>
    <w:rsid w:val="002511BA"/>
    <w:rsid w:val="00251C40"/>
    <w:rsid w:val="0025212E"/>
    <w:rsid w:val="00252167"/>
    <w:rsid w:val="002523B7"/>
    <w:rsid w:val="002526B9"/>
    <w:rsid w:val="00252B3F"/>
    <w:rsid w:val="00252B6C"/>
    <w:rsid w:val="00252DD3"/>
    <w:rsid w:val="0025394F"/>
    <w:rsid w:val="00253B97"/>
    <w:rsid w:val="00253C7B"/>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2C5"/>
    <w:rsid w:val="00260B48"/>
    <w:rsid w:val="002610D8"/>
    <w:rsid w:val="0026126E"/>
    <w:rsid w:val="00261A6C"/>
    <w:rsid w:val="00262749"/>
    <w:rsid w:val="00262755"/>
    <w:rsid w:val="002629E2"/>
    <w:rsid w:val="00262BA8"/>
    <w:rsid w:val="00262BC8"/>
    <w:rsid w:val="00263031"/>
    <w:rsid w:val="00263C36"/>
    <w:rsid w:val="002641D9"/>
    <w:rsid w:val="002643C5"/>
    <w:rsid w:val="00264917"/>
    <w:rsid w:val="002651EC"/>
    <w:rsid w:val="00265514"/>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37B"/>
    <w:rsid w:val="00275F56"/>
    <w:rsid w:val="002765B7"/>
    <w:rsid w:val="002766ED"/>
    <w:rsid w:val="00276EAA"/>
    <w:rsid w:val="00277713"/>
    <w:rsid w:val="00277DBC"/>
    <w:rsid w:val="00277F64"/>
    <w:rsid w:val="002802A0"/>
    <w:rsid w:val="00280509"/>
    <w:rsid w:val="00280550"/>
    <w:rsid w:val="00280A02"/>
    <w:rsid w:val="00280E02"/>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4E94"/>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46E"/>
    <w:rsid w:val="00292B2A"/>
    <w:rsid w:val="00293271"/>
    <w:rsid w:val="00293587"/>
    <w:rsid w:val="00293896"/>
    <w:rsid w:val="00293ED1"/>
    <w:rsid w:val="002942CE"/>
    <w:rsid w:val="00294A06"/>
    <w:rsid w:val="00294FFB"/>
    <w:rsid w:val="002954FD"/>
    <w:rsid w:val="00295A73"/>
    <w:rsid w:val="00295D1B"/>
    <w:rsid w:val="00296242"/>
    <w:rsid w:val="002963A5"/>
    <w:rsid w:val="002965DF"/>
    <w:rsid w:val="002966E4"/>
    <w:rsid w:val="00296CE6"/>
    <w:rsid w:val="002973DF"/>
    <w:rsid w:val="0029772B"/>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5BD"/>
    <w:rsid w:val="002A46FA"/>
    <w:rsid w:val="002A5227"/>
    <w:rsid w:val="002A522F"/>
    <w:rsid w:val="002A526B"/>
    <w:rsid w:val="002A57BC"/>
    <w:rsid w:val="002A581C"/>
    <w:rsid w:val="002B00FE"/>
    <w:rsid w:val="002B0586"/>
    <w:rsid w:val="002B0E27"/>
    <w:rsid w:val="002B10B6"/>
    <w:rsid w:val="002B10D3"/>
    <w:rsid w:val="002B1113"/>
    <w:rsid w:val="002B1867"/>
    <w:rsid w:val="002B1EA3"/>
    <w:rsid w:val="002B2A55"/>
    <w:rsid w:val="002B2CE4"/>
    <w:rsid w:val="002B2DA9"/>
    <w:rsid w:val="002B2FF7"/>
    <w:rsid w:val="002B306E"/>
    <w:rsid w:val="002B30C8"/>
    <w:rsid w:val="002B31FA"/>
    <w:rsid w:val="002B33D5"/>
    <w:rsid w:val="002B3A06"/>
    <w:rsid w:val="002B3B21"/>
    <w:rsid w:val="002B3F1E"/>
    <w:rsid w:val="002B43EB"/>
    <w:rsid w:val="002B4552"/>
    <w:rsid w:val="002B4B8B"/>
    <w:rsid w:val="002B4C84"/>
    <w:rsid w:val="002B5746"/>
    <w:rsid w:val="002B5F7F"/>
    <w:rsid w:val="002B63D3"/>
    <w:rsid w:val="002B6815"/>
    <w:rsid w:val="002B6AB1"/>
    <w:rsid w:val="002B71D1"/>
    <w:rsid w:val="002B753F"/>
    <w:rsid w:val="002B7726"/>
    <w:rsid w:val="002B7DCC"/>
    <w:rsid w:val="002C0144"/>
    <w:rsid w:val="002C0CAC"/>
    <w:rsid w:val="002C1F28"/>
    <w:rsid w:val="002C2517"/>
    <w:rsid w:val="002C254B"/>
    <w:rsid w:val="002C25DE"/>
    <w:rsid w:val="002C27E8"/>
    <w:rsid w:val="002C2895"/>
    <w:rsid w:val="002C2ACB"/>
    <w:rsid w:val="002C2F60"/>
    <w:rsid w:val="002C33CE"/>
    <w:rsid w:val="002C3650"/>
    <w:rsid w:val="002C3968"/>
    <w:rsid w:val="002C414C"/>
    <w:rsid w:val="002C41CB"/>
    <w:rsid w:val="002C45C6"/>
    <w:rsid w:val="002C5C58"/>
    <w:rsid w:val="002C6088"/>
    <w:rsid w:val="002C6A1A"/>
    <w:rsid w:val="002C6B67"/>
    <w:rsid w:val="002C73EE"/>
    <w:rsid w:val="002C7660"/>
    <w:rsid w:val="002C7718"/>
    <w:rsid w:val="002C77DB"/>
    <w:rsid w:val="002C77F7"/>
    <w:rsid w:val="002C7886"/>
    <w:rsid w:val="002C7CD4"/>
    <w:rsid w:val="002D0321"/>
    <w:rsid w:val="002D0E7A"/>
    <w:rsid w:val="002D155B"/>
    <w:rsid w:val="002D1AD3"/>
    <w:rsid w:val="002D26FE"/>
    <w:rsid w:val="002D40A5"/>
    <w:rsid w:val="002D473F"/>
    <w:rsid w:val="002D48E1"/>
    <w:rsid w:val="002D5A82"/>
    <w:rsid w:val="002D61C8"/>
    <w:rsid w:val="002D629E"/>
    <w:rsid w:val="002D6E9A"/>
    <w:rsid w:val="002D720A"/>
    <w:rsid w:val="002D726B"/>
    <w:rsid w:val="002D75DB"/>
    <w:rsid w:val="002E0067"/>
    <w:rsid w:val="002E02D0"/>
    <w:rsid w:val="002E0489"/>
    <w:rsid w:val="002E04C0"/>
    <w:rsid w:val="002E0544"/>
    <w:rsid w:val="002E09BE"/>
    <w:rsid w:val="002E145F"/>
    <w:rsid w:val="002E1DF4"/>
    <w:rsid w:val="002E1FFC"/>
    <w:rsid w:val="002E2C3B"/>
    <w:rsid w:val="002E3C37"/>
    <w:rsid w:val="002E454D"/>
    <w:rsid w:val="002E4BA7"/>
    <w:rsid w:val="002E4D3D"/>
    <w:rsid w:val="002E5922"/>
    <w:rsid w:val="002E5CA7"/>
    <w:rsid w:val="002E620C"/>
    <w:rsid w:val="002E668B"/>
    <w:rsid w:val="002E690E"/>
    <w:rsid w:val="002E7235"/>
    <w:rsid w:val="002E77BC"/>
    <w:rsid w:val="002E79BC"/>
    <w:rsid w:val="002E7B9F"/>
    <w:rsid w:val="002E7DEA"/>
    <w:rsid w:val="002F0276"/>
    <w:rsid w:val="002F10E7"/>
    <w:rsid w:val="002F11F9"/>
    <w:rsid w:val="002F1274"/>
    <w:rsid w:val="002F13E0"/>
    <w:rsid w:val="002F16CB"/>
    <w:rsid w:val="002F1742"/>
    <w:rsid w:val="002F19C3"/>
    <w:rsid w:val="002F1AB0"/>
    <w:rsid w:val="002F28A5"/>
    <w:rsid w:val="002F3C64"/>
    <w:rsid w:val="002F3E2E"/>
    <w:rsid w:val="002F4431"/>
    <w:rsid w:val="002F47E7"/>
    <w:rsid w:val="002F510D"/>
    <w:rsid w:val="002F5F61"/>
    <w:rsid w:val="002F6AC7"/>
    <w:rsid w:val="00300081"/>
    <w:rsid w:val="003000C0"/>
    <w:rsid w:val="0030023E"/>
    <w:rsid w:val="00300317"/>
    <w:rsid w:val="0030059B"/>
    <w:rsid w:val="00300FC5"/>
    <w:rsid w:val="00301277"/>
    <w:rsid w:val="003017B6"/>
    <w:rsid w:val="00301837"/>
    <w:rsid w:val="003019CD"/>
    <w:rsid w:val="00302EBA"/>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50"/>
    <w:rsid w:val="003106C8"/>
    <w:rsid w:val="00310E3F"/>
    <w:rsid w:val="00311262"/>
    <w:rsid w:val="00311270"/>
    <w:rsid w:val="0031175D"/>
    <w:rsid w:val="003119DD"/>
    <w:rsid w:val="00311CE6"/>
    <w:rsid w:val="00312297"/>
    <w:rsid w:val="003123C5"/>
    <w:rsid w:val="00312DBF"/>
    <w:rsid w:val="00313367"/>
    <w:rsid w:val="0031354F"/>
    <w:rsid w:val="00313B33"/>
    <w:rsid w:val="00314614"/>
    <w:rsid w:val="00314739"/>
    <w:rsid w:val="00314773"/>
    <w:rsid w:val="00314F8A"/>
    <w:rsid w:val="003151F3"/>
    <w:rsid w:val="003152FA"/>
    <w:rsid w:val="003154DB"/>
    <w:rsid w:val="00316779"/>
    <w:rsid w:val="003175BF"/>
    <w:rsid w:val="00317891"/>
    <w:rsid w:val="00317BDD"/>
    <w:rsid w:val="00317DA5"/>
    <w:rsid w:val="003201D0"/>
    <w:rsid w:val="003205E0"/>
    <w:rsid w:val="00321386"/>
    <w:rsid w:val="00321788"/>
    <w:rsid w:val="00321848"/>
    <w:rsid w:val="00321CB3"/>
    <w:rsid w:val="0032222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513"/>
    <w:rsid w:val="00331659"/>
    <w:rsid w:val="003319C5"/>
    <w:rsid w:val="00331A58"/>
    <w:rsid w:val="003320F9"/>
    <w:rsid w:val="003327BD"/>
    <w:rsid w:val="0033366D"/>
    <w:rsid w:val="00333686"/>
    <w:rsid w:val="003338EB"/>
    <w:rsid w:val="00334446"/>
    <w:rsid w:val="0033444C"/>
    <w:rsid w:val="00334725"/>
    <w:rsid w:val="00334A38"/>
    <w:rsid w:val="00334AF1"/>
    <w:rsid w:val="00334B64"/>
    <w:rsid w:val="003353D5"/>
    <w:rsid w:val="00335A53"/>
    <w:rsid w:val="003363FA"/>
    <w:rsid w:val="0033725C"/>
    <w:rsid w:val="003379A4"/>
    <w:rsid w:val="00337BB0"/>
    <w:rsid w:val="00337CB6"/>
    <w:rsid w:val="003403AE"/>
    <w:rsid w:val="003409BD"/>
    <w:rsid w:val="003410E2"/>
    <w:rsid w:val="0034111B"/>
    <w:rsid w:val="00341D1D"/>
    <w:rsid w:val="00341EEA"/>
    <w:rsid w:val="003422DD"/>
    <w:rsid w:val="00342559"/>
    <w:rsid w:val="00342D1A"/>
    <w:rsid w:val="0034339B"/>
    <w:rsid w:val="003433BC"/>
    <w:rsid w:val="00343860"/>
    <w:rsid w:val="00343AB5"/>
    <w:rsid w:val="00343D33"/>
    <w:rsid w:val="00344CEF"/>
    <w:rsid w:val="00344D3F"/>
    <w:rsid w:val="00344F44"/>
    <w:rsid w:val="0034511C"/>
    <w:rsid w:val="00345191"/>
    <w:rsid w:val="0034550A"/>
    <w:rsid w:val="00345B7B"/>
    <w:rsid w:val="0034620C"/>
    <w:rsid w:val="00346579"/>
    <w:rsid w:val="00346C50"/>
    <w:rsid w:val="003474B3"/>
    <w:rsid w:val="00347940"/>
    <w:rsid w:val="00347A1B"/>
    <w:rsid w:val="00347CA3"/>
    <w:rsid w:val="00347D30"/>
    <w:rsid w:val="00347F9F"/>
    <w:rsid w:val="00350636"/>
    <w:rsid w:val="00351032"/>
    <w:rsid w:val="0035149A"/>
    <w:rsid w:val="00351668"/>
    <w:rsid w:val="003524F4"/>
    <w:rsid w:val="00352775"/>
    <w:rsid w:val="00352F14"/>
    <w:rsid w:val="003530B3"/>
    <w:rsid w:val="003530D1"/>
    <w:rsid w:val="003531BE"/>
    <w:rsid w:val="00353A4B"/>
    <w:rsid w:val="00354223"/>
    <w:rsid w:val="003547B5"/>
    <w:rsid w:val="0035546F"/>
    <w:rsid w:val="003554BD"/>
    <w:rsid w:val="003554CE"/>
    <w:rsid w:val="00356392"/>
    <w:rsid w:val="00356586"/>
    <w:rsid w:val="00356792"/>
    <w:rsid w:val="0035701B"/>
    <w:rsid w:val="003571E2"/>
    <w:rsid w:val="00360A82"/>
    <w:rsid w:val="00361062"/>
    <w:rsid w:val="003610F5"/>
    <w:rsid w:val="003616F4"/>
    <w:rsid w:val="003623A0"/>
    <w:rsid w:val="00362B5E"/>
    <w:rsid w:val="00362E82"/>
    <w:rsid w:val="003638E9"/>
    <w:rsid w:val="003643A5"/>
    <w:rsid w:val="00364A29"/>
    <w:rsid w:val="00364D97"/>
    <w:rsid w:val="0036533F"/>
    <w:rsid w:val="00365370"/>
    <w:rsid w:val="00365CA6"/>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2802"/>
    <w:rsid w:val="003732C8"/>
    <w:rsid w:val="0037334A"/>
    <w:rsid w:val="003734B3"/>
    <w:rsid w:val="0037352E"/>
    <w:rsid w:val="003736AF"/>
    <w:rsid w:val="00373821"/>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8B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5A9B"/>
    <w:rsid w:val="00386092"/>
    <w:rsid w:val="0038615C"/>
    <w:rsid w:val="003861A0"/>
    <w:rsid w:val="00386891"/>
    <w:rsid w:val="00386A21"/>
    <w:rsid w:val="00386F61"/>
    <w:rsid w:val="0038735C"/>
    <w:rsid w:val="003874B4"/>
    <w:rsid w:val="00387631"/>
    <w:rsid w:val="00387823"/>
    <w:rsid w:val="00387C8E"/>
    <w:rsid w:val="00390034"/>
    <w:rsid w:val="00390044"/>
    <w:rsid w:val="00390095"/>
    <w:rsid w:val="003903FB"/>
    <w:rsid w:val="00390644"/>
    <w:rsid w:val="0039066F"/>
    <w:rsid w:val="00390D50"/>
    <w:rsid w:val="00390E26"/>
    <w:rsid w:val="00390EAD"/>
    <w:rsid w:val="00390EAF"/>
    <w:rsid w:val="0039158A"/>
    <w:rsid w:val="00391CBB"/>
    <w:rsid w:val="00391D90"/>
    <w:rsid w:val="00391DDE"/>
    <w:rsid w:val="0039208E"/>
    <w:rsid w:val="003923A6"/>
    <w:rsid w:val="0039257A"/>
    <w:rsid w:val="00393231"/>
    <w:rsid w:val="0039372B"/>
    <w:rsid w:val="0039383D"/>
    <w:rsid w:val="00393906"/>
    <w:rsid w:val="003940C0"/>
    <w:rsid w:val="00394FE8"/>
    <w:rsid w:val="00395069"/>
    <w:rsid w:val="003955AD"/>
    <w:rsid w:val="00395A0A"/>
    <w:rsid w:val="00396C46"/>
    <w:rsid w:val="003975A2"/>
    <w:rsid w:val="00397BF1"/>
    <w:rsid w:val="003A0A67"/>
    <w:rsid w:val="003A1273"/>
    <w:rsid w:val="003A1596"/>
    <w:rsid w:val="003A1643"/>
    <w:rsid w:val="003A1FEA"/>
    <w:rsid w:val="003A344A"/>
    <w:rsid w:val="003A3622"/>
    <w:rsid w:val="003A36D4"/>
    <w:rsid w:val="003A3938"/>
    <w:rsid w:val="003A4139"/>
    <w:rsid w:val="003A445A"/>
    <w:rsid w:val="003A495B"/>
    <w:rsid w:val="003A4B2F"/>
    <w:rsid w:val="003A4C4A"/>
    <w:rsid w:val="003A4F9E"/>
    <w:rsid w:val="003A5033"/>
    <w:rsid w:val="003A53AA"/>
    <w:rsid w:val="003A5EEB"/>
    <w:rsid w:val="003A64D6"/>
    <w:rsid w:val="003A6562"/>
    <w:rsid w:val="003A701E"/>
    <w:rsid w:val="003A7161"/>
    <w:rsid w:val="003A71D8"/>
    <w:rsid w:val="003A7200"/>
    <w:rsid w:val="003A75C6"/>
    <w:rsid w:val="003A79FF"/>
    <w:rsid w:val="003A7DFF"/>
    <w:rsid w:val="003B00E9"/>
    <w:rsid w:val="003B02DF"/>
    <w:rsid w:val="003B0A8B"/>
    <w:rsid w:val="003B106D"/>
    <w:rsid w:val="003B1083"/>
    <w:rsid w:val="003B12DB"/>
    <w:rsid w:val="003B13AB"/>
    <w:rsid w:val="003B1686"/>
    <w:rsid w:val="003B1C5D"/>
    <w:rsid w:val="003B1EAD"/>
    <w:rsid w:val="003B1F1C"/>
    <w:rsid w:val="003B23A8"/>
    <w:rsid w:val="003B3822"/>
    <w:rsid w:val="003B3BAD"/>
    <w:rsid w:val="003B3F02"/>
    <w:rsid w:val="003B3F64"/>
    <w:rsid w:val="003B435D"/>
    <w:rsid w:val="003B4644"/>
    <w:rsid w:val="003B4B26"/>
    <w:rsid w:val="003B4E29"/>
    <w:rsid w:val="003B5306"/>
    <w:rsid w:val="003B5757"/>
    <w:rsid w:val="003B5DAC"/>
    <w:rsid w:val="003B6179"/>
    <w:rsid w:val="003B6302"/>
    <w:rsid w:val="003B69D0"/>
    <w:rsid w:val="003B6BAD"/>
    <w:rsid w:val="003B7B4D"/>
    <w:rsid w:val="003C00A2"/>
    <w:rsid w:val="003C00D4"/>
    <w:rsid w:val="003C0125"/>
    <w:rsid w:val="003C03F7"/>
    <w:rsid w:val="003C05CD"/>
    <w:rsid w:val="003C0FE5"/>
    <w:rsid w:val="003C12F6"/>
    <w:rsid w:val="003C1CAF"/>
    <w:rsid w:val="003C22D4"/>
    <w:rsid w:val="003C29AF"/>
    <w:rsid w:val="003C2C17"/>
    <w:rsid w:val="003C3209"/>
    <w:rsid w:val="003C3215"/>
    <w:rsid w:val="003C3B47"/>
    <w:rsid w:val="003C3F73"/>
    <w:rsid w:val="003C3FE2"/>
    <w:rsid w:val="003C40A2"/>
    <w:rsid w:val="003C48FA"/>
    <w:rsid w:val="003C4A78"/>
    <w:rsid w:val="003C5519"/>
    <w:rsid w:val="003C5A97"/>
    <w:rsid w:val="003C616B"/>
    <w:rsid w:val="003C6434"/>
    <w:rsid w:val="003C681D"/>
    <w:rsid w:val="003C69CF"/>
    <w:rsid w:val="003C6BED"/>
    <w:rsid w:val="003C7855"/>
    <w:rsid w:val="003C7965"/>
    <w:rsid w:val="003C7D06"/>
    <w:rsid w:val="003C7EA9"/>
    <w:rsid w:val="003C7EF7"/>
    <w:rsid w:val="003D0220"/>
    <w:rsid w:val="003D0E1F"/>
    <w:rsid w:val="003D0F6E"/>
    <w:rsid w:val="003D1182"/>
    <w:rsid w:val="003D1AE0"/>
    <w:rsid w:val="003D1CB6"/>
    <w:rsid w:val="003D22DA"/>
    <w:rsid w:val="003D2A7D"/>
    <w:rsid w:val="003D3779"/>
    <w:rsid w:val="003D39CB"/>
    <w:rsid w:val="003D3B16"/>
    <w:rsid w:val="003D425A"/>
    <w:rsid w:val="003D4492"/>
    <w:rsid w:val="003D47AF"/>
    <w:rsid w:val="003D4866"/>
    <w:rsid w:val="003D4ADC"/>
    <w:rsid w:val="003D507A"/>
    <w:rsid w:val="003D53FE"/>
    <w:rsid w:val="003D59BD"/>
    <w:rsid w:val="003D6280"/>
    <w:rsid w:val="003D66CB"/>
    <w:rsid w:val="003D687A"/>
    <w:rsid w:val="003D6E45"/>
    <w:rsid w:val="003D79B8"/>
    <w:rsid w:val="003D7A2D"/>
    <w:rsid w:val="003D7C91"/>
    <w:rsid w:val="003E043F"/>
    <w:rsid w:val="003E07F1"/>
    <w:rsid w:val="003E0E8C"/>
    <w:rsid w:val="003E113F"/>
    <w:rsid w:val="003E1320"/>
    <w:rsid w:val="003E1418"/>
    <w:rsid w:val="003E1753"/>
    <w:rsid w:val="003E2375"/>
    <w:rsid w:val="003E2F08"/>
    <w:rsid w:val="003E3DA0"/>
    <w:rsid w:val="003E45F2"/>
    <w:rsid w:val="003E4959"/>
    <w:rsid w:val="003E4979"/>
    <w:rsid w:val="003E4B79"/>
    <w:rsid w:val="003E4B85"/>
    <w:rsid w:val="003E581F"/>
    <w:rsid w:val="003E5F16"/>
    <w:rsid w:val="003E634D"/>
    <w:rsid w:val="003E64A3"/>
    <w:rsid w:val="003E64BB"/>
    <w:rsid w:val="003E6AC1"/>
    <w:rsid w:val="003E6B60"/>
    <w:rsid w:val="003E7EEA"/>
    <w:rsid w:val="003F01E7"/>
    <w:rsid w:val="003F040D"/>
    <w:rsid w:val="003F12FB"/>
    <w:rsid w:val="003F18CF"/>
    <w:rsid w:val="003F2770"/>
    <w:rsid w:val="003F2BFE"/>
    <w:rsid w:val="003F2C80"/>
    <w:rsid w:val="003F3112"/>
    <w:rsid w:val="003F3A44"/>
    <w:rsid w:val="003F3DC1"/>
    <w:rsid w:val="003F4C81"/>
    <w:rsid w:val="003F4CD3"/>
    <w:rsid w:val="003F5F0A"/>
    <w:rsid w:val="003F697A"/>
    <w:rsid w:val="003F6DF4"/>
    <w:rsid w:val="003F7022"/>
    <w:rsid w:val="003F7263"/>
    <w:rsid w:val="003F7B82"/>
    <w:rsid w:val="003F7D77"/>
    <w:rsid w:val="003F7EC8"/>
    <w:rsid w:val="0040046F"/>
    <w:rsid w:val="00400A5E"/>
    <w:rsid w:val="00400F19"/>
    <w:rsid w:val="004015B0"/>
    <w:rsid w:val="004016AD"/>
    <w:rsid w:val="00401A15"/>
    <w:rsid w:val="00401C5B"/>
    <w:rsid w:val="00401DB1"/>
    <w:rsid w:val="00401E45"/>
    <w:rsid w:val="004020FB"/>
    <w:rsid w:val="0040230D"/>
    <w:rsid w:val="004028D0"/>
    <w:rsid w:val="00402940"/>
    <w:rsid w:val="00403226"/>
    <w:rsid w:val="00403827"/>
    <w:rsid w:val="00403BA6"/>
    <w:rsid w:val="00403E68"/>
    <w:rsid w:val="004040E3"/>
    <w:rsid w:val="00404D4D"/>
    <w:rsid w:val="0040558F"/>
    <w:rsid w:val="00405856"/>
    <w:rsid w:val="00405945"/>
    <w:rsid w:val="00405A4F"/>
    <w:rsid w:val="00406A35"/>
    <w:rsid w:val="004071BE"/>
    <w:rsid w:val="0040743C"/>
    <w:rsid w:val="004078A4"/>
    <w:rsid w:val="00407CDA"/>
    <w:rsid w:val="004100F4"/>
    <w:rsid w:val="004100FD"/>
    <w:rsid w:val="0041029D"/>
    <w:rsid w:val="00410347"/>
    <w:rsid w:val="004104BF"/>
    <w:rsid w:val="0041068A"/>
    <w:rsid w:val="00410DEC"/>
    <w:rsid w:val="0041138F"/>
    <w:rsid w:val="004118D5"/>
    <w:rsid w:val="004119CA"/>
    <w:rsid w:val="004119D9"/>
    <w:rsid w:val="004126EE"/>
    <w:rsid w:val="00412DD6"/>
    <w:rsid w:val="00412E11"/>
    <w:rsid w:val="00412EF3"/>
    <w:rsid w:val="004133CD"/>
    <w:rsid w:val="00413549"/>
    <w:rsid w:val="00414080"/>
    <w:rsid w:val="00414538"/>
    <w:rsid w:val="0041479C"/>
    <w:rsid w:val="00415643"/>
    <w:rsid w:val="00415B16"/>
    <w:rsid w:val="00416787"/>
    <w:rsid w:val="00416B47"/>
    <w:rsid w:val="00416D2E"/>
    <w:rsid w:val="00417E72"/>
    <w:rsid w:val="004203CA"/>
    <w:rsid w:val="004208D7"/>
    <w:rsid w:val="00420CA2"/>
    <w:rsid w:val="00420CBA"/>
    <w:rsid w:val="00421878"/>
    <w:rsid w:val="004228EE"/>
    <w:rsid w:val="00422BB1"/>
    <w:rsid w:val="00422D87"/>
    <w:rsid w:val="0042325A"/>
    <w:rsid w:val="0042336F"/>
    <w:rsid w:val="0042338C"/>
    <w:rsid w:val="004234EF"/>
    <w:rsid w:val="00423E81"/>
    <w:rsid w:val="004242F2"/>
    <w:rsid w:val="004249DB"/>
    <w:rsid w:val="00424A55"/>
    <w:rsid w:val="00424C76"/>
    <w:rsid w:val="00425286"/>
    <w:rsid w:val="00425554"/>
    <w:rsid w:val="0042556A"/>
    <w:rsid w:val="00425B68"/>
    <w:rsid w:val="00425C9F"/>
    <w:rsid w:val="004268A5"/>
    <w:rsid w:val="00426B99"/>
    <w:rsid w:val="0042729D"/>
    <w:rsid w:val="004300E1"/>
    <w:rsid w:val="00430294"/>
    <w:rsid w:val="00430667"/>
    <w:rsid w:val="004309CF"/>
    <w:rsid w:val="00430B44"/>
    <w:rsid w:val="00430F27"/>
    <w:rsid w:val="0043104B"/>
    <w:rsid w:val="004310CB"/>
    <w:rsid w:val="00431577"/>
    <w:rsid w:val="0043181D"/>
    <w:rsid w:val="00431CCB"/>
    <w:rsid w:val="004328E4"/>
    <w:rsid w:val="00432937"/>
    <w:rsid w:val="00432ED6"/>
    <w:rsid w:val="00432FCB"/>
    <w:rsid w:val="00433460"/>
    <w:rsid w:val="00433D87"/>
    <w:rsid w:val="00433ECE"/>
    <w:rsid w:val="004347A7"/>
    <w:rsid w:val="00434800"/>
    <w:rsid w:val="00434F9C"/>
    <w:rsid w:val="00435F09"/>
    <w:rsid w:val="00435F6F"/>
    <w:rsid w:val="00436548"/>
    <w:rsid w:val="00436AA5"/>
    <w:rsid w:val="00436C20"/>
    <w:rsid w:val="004373A1"/>
    <w:rsid w:val="00437AC0"/>
    <w:rsid w:val="00440392"/>
    <w:rsid w:val="00440502"/>
    <w:rsid w:val="004405A0"/>
    <w:rsid w:val="00440E8F"/>
    <w:rsid w:val="004412E5"/>
    <w:rsid w:val="004415FC"/>
    <w:rsid w:val="00441625"/>
    <w:rsid w:val="00441989"/>
    <w:rsid w:val="00442112"/>
    <w:rsid w:val="00442822"/>
    <w:rsid w:val="00442E14"/>
    <w:rsid w:val="00442EA1"/>
    <w:rsid w:val="00443766"/>
    <w:rsid w:val="004437F3"/>
    <w:rsid w:val="00443A3A"/>
    <w:rsid w:val="00443AE0"/>
    <w:rsid w:val="00443D1A"/>
    <w:rsid w:val="004442B1"/>
    <w:rsid w:val="0044437E"/>
    <w:rsid w:val="004443FB"/>
    <w:rsid w:val="00444699"/>
    <w:rsid w:val="004446A0"/>
    <w:rsid w:val="0044476D"/>
    <w:rsid w:val="00444DA1"/>
    <w:rsid w:val="00445064"/>
    <w:rsid w:val="00445172"/>
    <w:rsid w:val="004461DF"/>
    <w:rsid w:val="00446929"/>
    <w:rsid w:val="00447603"/>
    <w:rsid w:val="0044773F"/>
    <w:rsid w:val="00447999"/>
    <w:rsid w:val="00447AC5"/>
    <w:rsid w:val="00447EAD"/>
    <w:rsid w:val="004504A7"/>
    <w:rsid w:val="00450899"/>
    <w:rsid w:val="004508B7"/>
    <w:rsid w:val="00450A4E"/>
    <w:rsid w:val="00450FE9"/>
    <w:rsid w:val="00451A7B"/>
    <w:rsid w:val="004522A6"/>
    <w:rsid w:val="004529D7"/>
    <w:rsid w:val="00452A11"/>
    <w:rsid w:val="00453BF4"/>
    <w:rsid w:val="00453D19"/>
    <w:rsid w:val="00454571"/>
    <w:rsid w:val="004551E8"/>
    <w:rsid w:val="00455AFA"/>
    <w:rsid w:val="004561D0"/>
    <w:rsid w:val="00456308"/>
    <w:rsid w:val="004566BE"/>
    <w:rsid w:val="0045682E"/>
    <w:rsid w:val="004568B4"/>
    <w:rsid w:val="00456A0C"/>
    <w:rsid w:val="00456B4E"/>
    <w:rsid w:val="00457142"/>
    <w:rsid w:val="004573A4"/>
    <w:rsid w:val="00457493"/>
    <w:rsid w:val="00457958"/>
    <w:rsid w:val="00457B1E"/>
    <w:rsid w:val="0046014B"/>
    <w:rsid w:val="004604C6"/>
    <w:rsid w:val="0046115F"/>
    <w:rsid w:val="0046148D"/>
    <w:rsid w:val="00461535"/>
    <w:rsid w:val="00461EE2"/>
    <w:rsid w:val="00462745"/>
    <w:rsid w:val="004627CF"/>
    <w:rsid w:val="00462977"/>
    <w:rsid w:val="00462DBA"/>
    <w:rsid w:val="004635B7"/>
    <w:rsid w:val="00464027"/>
    <w:rsid w:val="004641CB"/>
    <w:rsid w:val="00464397"/>
    <w:rsid w:val="0046443B"/>
    <w:rsid w:val="00464BC7"/>
    <w:rsid w:val="004651B8"/>
    <w:rsid w:val="004653CD"/>
    <w:rsid w:val="00465580"/>
    <w:rsid w:val="00465972"/>
    <w:rsid w:val="00465B78"/>
    <w:rsid w:val="00465E7E"/>
    <w:rsid w:val="00466BB5"/>
    <w:rsid w:val="004672E8"/>
    <w:rsid w:val="004677E9"/>
    <w:rsid w:val="004679F2"/>
    <w:rsid w:val="00470535"/>
    <w:rsid w:val="00470766"/>
    <w:rsid w:val="00471183"/>
    <w:rsid w:val="0047123C"/>
    <w:rsid w:val="004714F6"/>
    <w:rsid w:val="00471948"/>
    <w:rsid w:val="004725B1"/>
    <w:rsid w:val="0047289C"/>
    <w:rsid w:val="00472BCF"/>
    <w:rsid w:val="00472E22"/>
    <w:rsid w:val="00472F67"/>
    <w:rsid w:val="00473948"/>
    <w:rsid w:val="004739A1"/>
    <w:rsid w:val="0047430D"/>
    <w:rsid w:val="00474D6E"/>
    <w:rsid w:val="00474FDF"/>
    <w:rsid w:val="004750E3"/>
    <w:rsid w:val="00475688"/>
    <w:rsid w:val="004758F6"/>
    <w:rsid w:val="004759E3"/>
    <w:rsid w:val="00475C51"/>
    <w:rsid w:val="004760EC"/>
    <w:rsid w:val="00476161"/>
    <w:rsid w:val="004764A7"/>
    <w:rsid w:val="0047664F"/>
    <w:rsid w:val="00476658"/>
    <w:rsid w:val="00476E34"/>
    <w:rsid w:val="00476EE1"/>
    <w:rsid w:val="00477163"/>
    <w:rsid w:val="00477B0E"/>
    <w:rsid w:val="00477DA0"/>
    <w:rsid w:val="00480063"/>
    <w:rsid w:val="00481188"/>
    <w:rsid w:val="00481380"/>
    <w:rsid w:val="00481688"/>
    <w:rsid w:val="00481D40"/>
    <w:rsid w:val="004820E0"/>
    <w:rsid w:val="004822CA"/>
    <w:rsid w:val="004822D2"/>
    <w:rsid w:val="00482E54"/>
    <w:rsid w:val="00482EC9"/>
    <w:rsid w:val="004831A1"/>
    <w:rsid w:val="0048348A"/>
    <w:rsid w:val="0048388E"/>
    <w:rsid w:val="00483F95"/>
    <w:rsid w:val="004842A2"/>
    <w:rsid w:val="00484D20"/>
    <w:rsid w:val="004850C1"/>
    <w:rsid w:val="004851F7"/>
    <w:rsid w:val="00485565"/>
    <w:rsid w:val="00485828"/>
    <w:rsid w:val="00485B34"/>
    <w:rsid w:val="00486F54"/>
    <w:rsid w:val="004871B4"/>
    <w:rsid w:val="00487374"/>
    <w:rsid w:val="004876DD"/>
    <w:rsid w:val="0048786E"/>
    <w:rsid w:val="00487DD2"/>
    <w:rsid w:val="00490357"/>
    <w:rsid w:val="0049066D"/>
    <w:rsid w:val="00491241"/>
    <w:rsid w:val="0049178A"/>
    <w:rsid w:val="004919F4"/>
    <w:rsid w:val="00491C1D"/>
    <w:rsid w:val="00491DF1"/>
    <w:rsid w:val="00492535"/>
    <w:rsid w:val="00493435"/>
    <w:rsid w:val="00494B28"/>
    <w:rsid w:val="00495323"/>
    <w:rsid w:val="00495C51"/>
    <w:rsid w:val="00495FFF"/>
    <w:rsid w:val="00496811"/>
    <w:rsid w:val="00496A37"/>
    <w:rsid w:val="00496A9F"/>
    <w:rsid w:val="00497358"/>
    <w:rsid w:val="00497B27"/>
    <w:rsid w:val="00497B80"/>
    <w:rsid w:val="00497C8C"/>
    <w:rsid w:val="00497FA5"/>
    <w:rsid w:val="004A03B3"/>
    <w:rsid w:val="004A04D5"/>
    <w:rsid w:val="004A0698"/>
    <w:rsid w:val="004A17BD"/>
    <w:rsid w:val="004A1B07"/>
    <w:rsid w:val="004A1B45"/>
    <w:rsid w:val="004A1C7F"/>
    <w:rsid w:val="004A2E04"/>
    <w:rsid w:val="004A3226"/>
    <w:rsid w:val="004A3296"/>
    <w:rsid w:val="004A399F"/>
    <w:rsid w:val="004A405B"/>
    <w:rsid w:val="004A4096"/>
    <w:rsid w:val="004A43E2"/>
    <w:rsid w:val="004A4516"/>
    <w:rsid w:val="004A4692"/>
    <w:rsid w:val="004A5912"/>
    <w:rsid w:val="004A669F"/>
    <w:rsid w:val="004A6842"/>
    <w:rsid w:val="004A6C9D"/>
    <w:rsid w:val="004A718C"/>
    <w:rsid w:val="004A71C1"/>
    <w:rsid w:val="004A722D"/>
    <w:rsid w:val="004A7DBE"/>
    <w:rsid w:val="004A7E0C"/>
    <w:rsid w:val="004A7F94"/>
    <w:rsid w:val="004B03E2"/>
    <w:rsid w:val="004B08AC"/>
    <w:rsid w:val="004B0D88"/>
    <w:rsid w:val="004B172E"/>
    <w:rsid w:val="004B1C0D"/>
    <w:rsid w:val="004B206E"/>
    <w:rsid w:val="004B229E"/>
    <w:rsid w:val="004B29C2"/>
    <w:rsid w:val="004B29E1"/>
    <w:rsid w:val="004B2C52"/>
    <w:rsid w:val="004B2F46"/>
    <w:rsid w:val="004B3668"/>
    <w:rsid w:val="004B395D"/>
    <w:rsid w:val="004B4194"/>
    <w:rsid w:val="004B457E"/>
    <w:rsid w:val="004B5432"/>
    <w:rsid w:val="004B55F0"/>
    <w:rsid w:val="004B56C3"/>
    <w:rsid w:val="004B6928"/>
    <w:rsid w:val="004B6DD8"/>
    <w:rsid w:val="004B71F5"/>
    <w:rsid w:val="004B7927"/>
    <w:rsid w:val="004B79FA"/>
    <w:rsid w:val="004B7D94"/>
    <w:rsid w:val="004C0FB7"/>
    <w:rsid w:val="004C104B"/>
    <w:rsid w:val="004C164A"/>
    <w:rsid w:val="004C208F"/>
    <w:rsid w:val="004C296D"/>
    <w:rsid w:val="004C2E14"/>
    <w:rsid w:val="004C2FE3"/>
    <w:rsid w:val="004C305A"/>
    <w:rsid w:val="004C30C2"/>
    <w:rsid w:val="004C35EF"/>
    <w:rsid w:val="004C3BCF"/>
    <w:rsid w:val="004C4829"/>
    <w:rsid w:val="004C49F8"/>
    <w:rsid w:val="004C4CA7"/>
    <w:rsid w:val="004C4D30"/>
    <w:rsid w:val="004C4EAB"/>
    <w:rsid w:val="004C4F6D"/>
    <w:rsid w:val="004C5570"/>
    <w:rsid w:val="004C5BD0"/>
    <w:rsid w:val="004C5D52"/>
    <w:rsid w:val="004C5DB0"/>
    <w:rsid w:val="004C60D8"/>
    <w:rsid w:val="004C62EE"/>
    <w:rsid w:val="004C6A0D"/>
    <w:rsid w:val="004C6A26"/>
    <w:rsid w:val="004C6B4B"/>
    <w:rsid w:val="004C7B72"/>
    <w:rsid w:val="004D00F9"/>
    <w:rsid w:val="004D05DF"/>
    <w:rsid w:val="004D1000"/>
    <w:rsid w:val="004D1144"/>
    <w:rsid w:val="004D1CE9"/>
    <w:rsid w:val="004D1D27"/>
    <w:rsid w:val="004D21B6"/>
    <w:rsid w:val="004D2EC3"/>
    <w:rsid w:val="004D2FF6"/>
    <w:rsid w:val="004D3FD6"/>
    <w:rsid w:val="004D405F"/>
    <w:rsid w:val="004D5278"/>
    <w:rsid w:val="004D55CA"/>
    <w:rsid w:val="004D59E8"/>
    <w:rsid w:val="004D5A27"/>
    <w:rsid w:val="004D5F0E"/>
    <w:rsid w:val="004D6626"/>
    <w:rsid w:val="004D6758"/>
    <w:rsid w:val="004D7966"/>
    <w:rsid w:val="004D7B1A"/>
    <w:rsid w:val="004E004E"/>
    <w:rsid w:val="004E0108"/>
    <w:rsid w:val="004E01E8"/>
    <w:rsid w:val="004E0830"/>
    <w:rsid w:val="004E169C"/>
    <w:rsid w:val="004E1BF0"/>
    <w:rsid w:val="004E1E6A"/>
    <w:rsid w:val="004E20EB"/>
    <w:rsid w:val="004E28E1"/>
    <w:rsid w:val="004E2B01"/>
    <w:rsid w:val="004E34C7"/>
    <w:rsid w:val="004E356A"/>
    <w:rsid w:val="004E375D"/>
    <w:rsid w:val="004E37B2"/>
    <w:rsid w:val="004E3850"/>
    <w:rsid w:val="004E3FC1"/>
    <w:rsid w:val="004E58EA"/>
    <w:rsid w:val="004E5B75"/>
    <w:rsid w:val="004E5F65"/>
    <w:rsid w:val="004E6806"/>
    <w:rsid w:val="004E6C7A"/>
    <w:rsid w:val="004E727A"/>
    <w:rsid w:val="004E7615"/>
    <w:rsid w:val="004E7CDF"/>
    <w:rsid w:val="004F078C"/>
    <w:rsid w:val="004F10C4"/>
    <w:rsid w:val="004F12AD"/>
    <w:rsid w:val="004F1324"/>
    <w:rsid w:val="004F19F6"/>
    <w:rsid w:val="004F1C7D"/>
    <w:rsid w:val="004F1D24"/>
    <w:rsid w:val="004F21D2"/>
    <w:rsid w:val="004F22F9"/>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2BC"/>
    <w:rsid w:val="004F77E0"/>
    <w:rsid w:val="004F792C"/>
    <w:rsid w:val="004F7F0F"/>
    <w:rsid w:val="004F7FBC"/>
    <w:rsid w:val="005001AE"/>
    <w:rsid w:val="00500292"/>
    <w:rsid w:val="005007E7"/>
    <w:rsid w:val="00501141"/>
    <w:rsid w:val="005012FC"/>
    <w:rsid w:val="00501938"/>
    <w:rsid w:val="005019C2"/>
    <w:rsid w:val="00501C30"/>
    <w:rsid w:val="00501EBE"/>
    <w:rsid w:val="005020EB"/>
    <w:rsid w:val="00503551"/>
    <w:rsid w:val="00503821"/>
    <w:rsid w:val="00503B58"/>
    <w:rsid w:val="00503F38"/>
    <w:rsid w:val="005043FC"/>
    <w:rsid w:val="00504A55"/>
    <w:rsid w:val="0050569B"/>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2F7B"/>
    <w:rsid w:val="00513400"/>
    <w:rsid w:val="00514674"/>
    <w:rsid w:val="0051477F"/>
    <w:rsid w:val="00514C46"/>
    <w:rsid w:val="00515BCF"/>
    <w:rsid w:val="00516083"/>
    <w:rsid w:val="00516196"/>
    <w:rsid w:val="0051635A"/>
    <w:rsid w:val="0051646E"/>
    <w:rsid w:val="005166C3"/>
    <w:rsid w:val="00516EA5"/>
    <w:rsid w:val="0051707E"/>
    <w:rsid w:val="005179DA"/>
    <w:rsid w:val="00517E2A"/>
    <w:rsid w:val="00517EA1"/>
    <w:rsid w:val="00520C1C"/>
    <w:rsid w:val="0052117B"/>
    <w:rsid w:val="00521439"/>
    <w:rsid w:val="005217DF"/>
    <w:rsid w:val="00522133"/>
    <w:rsid w:val="0052236B"/>
    <w:rsid w:val="0052292E"/>
    <w:rsid w:val="005232E0"/>
    <w:rsid w:val="0052373B"/>
    <w:rsid w:val="00523900"/>
    <w:rsid w:val="00523D70"/>
    <w:rsid w:val="00523E00"/>
    <w:rsid w:val="0052439F"/>
    <w:rsid w:val="005243EB"/>
    <w:rsid w:val="00524AFB"/>
    <w:rsid w:val="00524FC0"/>
    <w:rsid w:val="00525154"/>
    <w:rsid w:val="005251DD"/>
    <w:rsid w:val="00525789"/>
    <w:rsid w:val="00525890"/>
    <w:rsid w:val="00525C4D"/>
    <w:rsid w:val="005260BC"/>
    <w:rsid w:val="00526452"/>
    <w:rsid w:val="00526816"/>
    <w:rsid w:val="00526AE3"/>
    <w:rsid w:val="00526F09"/>
    <w:rsid w:val="00527A1E"/>
    <w:rsid w:val="00527B9D"/>
    <w:rsid w:val="00527F3A"/>
    <w:rsid w:val="00527F4F"/>
    <w:rsid w:val="00530512"/>
    <w:rsid w:val="00530799"/>
    <w:rsid w:val="00530F0B"/>
    <w:rsid w:val="0053109F"/>
    <w:rsid w:val="005311E8"/>
    <w:rsid w:val="005312C3"/>
    <w:rsid w:val="005312C4"/>
    <w:rsid w:val="0053133A"/>
    <w:rsid w:val="0053153D"/>
    <w:rsid w:val="00531822"/>
    <w:rsid w:val="005326D0"/>
    <w:rsid w:val="005327CB"/>
    <w:rsid w:val="00532800"/>
    <w:rsid w:val="00532A80"/>
    <w:rsid w:val="00532DE3"/>
    <w:rsid w:val="00532FDA"/>
    <w:rsid w:val="005331F3"/>
    <w:rsid w:val="0053386F"/>
    <w:rsid w:val="00533EE8"/>
    <w:rsid w:val="0053417D"/>
    <w:rsid w:val="00534689"/>
    <w:rsid w:val="00534821"/>
    <w:rsid w:val="00534885"/>
    <w:rsid w:val="0053490C"/>
    <w:rsid w:val="0053521A"/>
    <w:rsid w:val="00535585"/>
    <w:rsid w:val="0053608F"/>
    <w:rsid w:val="0053640C"/>
    <w:rsid w:val="0053680E"/>
    <w:rsid w:val="00536A08"/>
    <w:rsid w:val="00536A58"/>
    <w:rsid w:val="00536AB4"/>
    <w:rsid w:val="00536C4E"/>
    <w:rsid w:val="00537127"/>
    <w:rsid w:val="0053764B"/>
    <w:rsid w:val="0054069F"/>
    <w:rsid w:val="00541307"/>
    <w:rsid w:val="00541B60"/>
    <w:rsid w:val="00541DB8"/>
    <w:rsid w:val="00541F9A"/>
    <w:rsid w:val="00542599"/>
    <w:rsid w:val="00542EB4"/>
    <w:rsid w:val="00543C95"/>
    <w:rsid w:val="00544320"/>
    <w:rsid w:val="0054460B"/>
    <w:rsid w:val="005448B9"/>
    <w:rsid w:val="00545136"/>
    <w:rsid w:val="005452C1"/>
    <w:rsid w:val="005452CD"/>
    <w:rsid w:val="00545B42"/>
    <w:rsid w:val="0054601E"/>
    <w:rsid w:val="0054612B"/>
    <w:rsid w:val="00547753"/>
    <w:rsid w:val="00547906"/>
    <w:rsid w:val="005479F5"/>
    <w:rsid w:val="00547D90"/>
    <w:rsid w:val="005508EF"/>
    <w:rsid w:val="005509F6"/>
    <w:rsid w:val="005510E3"/>
    <w:rsid w:val="00551305"/>
    <w:rsid w:val="0055173F"/>
    <w:rsid w:val="00551AE8"/>
    <w:rsid w:val="00551D57"/>
    <w:rsid w:val="00552C69"/>
    <w:rsid w:val="00552E11"/>
    <w:rsid w:val="00552FEB"/>
    <w:rsid w:val="00553115"/>
    <w:rsid w:val="0055312E"/>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5E8"/>
    <w:rsid w:val="00557D41"/>
    <w:rsid w:val="00557F5B"/>
    <w:rsid w:val="00557FE2"/>
    <w:rsid w:val="005603DA"/>
    <w:rsid w:val="00560729"/>
    <w:rsid w:val="00560A86"/>
    <w:rsid w:val="00560B67"/>
    <w:rsid w:val="00560EFC"/>
    <w:rsid w:val="00560F1B"/>
    <w:rsid w:val="00561C64"/>
    <w:rsid w:val="00561FB5"/>
    <w:rsid w:val="0056218D"/>
    <w:rsid w:val="00562EAD"/>
    <w:rsid w:val="00563222"/>
    <w:rsid w:val="00563810"/>
    <w:rsid w:val="00563963"/>
    <w:rsid w:val="00563AEB"/>
    <w:rsid w:val="00564775"/>
    <w:rsid w:val="0056492F"/>
    <w:rsid w:val="005650EE"/>
    <w:rsid w:val="0056557E"/>
    <w:rsid w:val="00566473"/>
    <w:rsid w:val="00566C28"/>
    <w:rsid w:val="00566EBC"/>
    <w:rsid w:val="00567500"/>
    <w:rsid w:val="0056753D"/>
    <w:rsid w:val="00567811"/>
    <w:rsid w:val="00567CDA"/>
    <w:rsid w:val="00570163"/>
    <w:rsid w:val="005701B3"/>
    <w:rsid w:val="005702BD"/>
    <w:rsid w:val="005704B1"/>
    <w:rsid w:val="0057096F"/>
    <w:rsid w:val="00571D81"/>
    <w:rsid w:val="00571F2F"/>
    <w:rsid w:val="00572749"/>
    <w:rsid w:val="005736E5"/>
    <w:rsid w:val="005739A1"/>
    <w:rsid w:val="005739F4"/>
    <w:rsid w:val="00573A7F"/>
    <w:rsid w:val="00573EE1"/>
    <w:rsid w:val="0057406C"/>
    <w:rsid w:val="0057409F"/>
    <w:rsid w:val="00574434"/>
    <w:rsid w:val="0057470D"/>
    <w:rsid w:val="00574DD0"/>
    <w:rsid w:val="00575051"/>
    <w:rsid w:val="005758E3"/>
    <w:rsid w:val="00576D35"/>
    <w:rsid w:val="005777C8"/>
    <w:rsid w:val="00577AD5"/>
    <w:rsid w:val="00577F23"/>
    <w:rsid w:val="00577FE7"/>
    <w:rsid w:val="005804A6"/>
    <w:rsid w:val="0058062A"/>
    <w:rsid w:val="0058080C"/>
    <w:rsid w:val="00580A72"/>
    <w:rsid w:val="00580EB8"/>
    <w:rsid w:val="0058107B"/>
    <w:rsid w:val="0058149F"/>
    <w:rsid w:val="0058161B"/>
    <w:rsid w:val="005817A5"/>
    <w:rsid w:val="00581DF3"/>
    <w:rsid w:val="00581E5D"/>
    <w:rsid w:val="00581E76"/>
    <w:rsid w:val="00582571"/>
    <w:rsid w:val="00582853"/>
    <w:rsid w:val="00582893"/>
    <w:rsid w:val="00582C76"/>
    <w:rsid w:val="005833DB"/>
    <w:rsid w:val="00583A87"/>
    <w:rsid w:val="0058403B"/>
    <w:rsid w:val="005842BA"/>
    <w:rsid w:val="005843E6"/>
    <w:rsid w:val="005845FA"/>
    <w:rsid w:val="00584AC0"/>
    <w:rsid w:val="005856AF"/>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AE4"/>
    <w:rsid w:val="00594C1A"/>
    <w:rsid w:val="00595106"/>
    <w:rsid w:val="00595692"/>
    <w:rsid w:val="00595919"/>
    <w:rsid w:val="00595B7B"/>
    <w:rsid w:val="00596020"/>
    <w:rsid w:val="0059632F"/>
    <w:rsid w:val="00597651"/>
    <w:rsid w:val="00597799"/>
    <w:rsid w:val="005977F9"/>
    <w:rsid w:val="00597BA8"/>
    <w:rsid w:val="005A01E7"/>
    <w:rsid w:val="005A02C8"/>
    <w:rsid w:val="005A09E5"/>
    <w:rsid w:val="005A1473"/>
    <w:rsid w:val="005A1923"/>
    <w:rsid w:val="005A19FF"/>
    <w:rsid w:val="005A1AEF"/>
    <w:rsid w:val="005A1F8C"/>
    <w:rsid w:val="005A2074"/>
    <w:rsid w:val="005A21E0"/>
    <w:rsid w:val="005A24AE"/>
    <w:rsid w:val="005A3394"/>
    <w:rsid w:val="005A403A"/>
    <w:rsid w:val="005A41EB"/>
    <w:rsid w:val="005A43BE"/>
    <w:rsid w:val="005A4624"/>
    <w:rsid w:val="005A5011"/>
    <w:rsid w:val="005A508D"/>
    <w:rsid w:val="005A60BA"/>
    <w:rsid w:val="005A6BC1"/>
    <w:rsid w:val="005A761B"/>
    <w:rsid w:val="005A790D"/>
    <w:rsid w:val="005B096F"/>
    <w:rsid w:val="005B0987"/>
    <w:rsid w:val="005B0B34"/>
    <w:rsid w:val="005B0FB5"/>
    <w:rsid w:val="005B1039"/>
    <w:rsid w:val="005B1191"/>
    <w:rsid w:val="005B1205"/>
    <w:rsid w:val="005B19DE"/>
    <w:rsid w:val="005B1D3B"/>
    <w:rsid w:val="005B2088"/>
    <w:rsid w:val="005B2466"/>
    <w:rsid w:val="005B2607"/>
    <w:rsid w:val="005B2BBB"/>
    <w:rsid w:val="005B2BF5"/>
    <w:rsid w:val="005B2FD3"/>
    <w:rsid w:val="005B30BC"/>
    <w:rsid w:val="005B41B3"/>
    <w:rsid w:val="005B4289"/>
    <w:rsid w:val="005B42F0"/>
    <w:rsid w:val="005B5926"/>
    <w:rsid w:val="005B5A74"/>
    <w:rsid w:val="005B5DBE"/>
    <w:rsid w:val="005B66C4"/>
    <w:rsid w:val="005B66DA"/>
    <w:rsid w:val="005B67B2"/>
    <w:rsid w:val="005B6927"/>
    <w:rsid w:val="005B698D"/>
    <w:rsid w:val="005B6B33"/>
    <w:rsid w:val="005B6B72"/>
    <w:rsid w:val="005B6BFD"/>
    <w:rsid w:val="005B7331"/>
    <w:rsid w:val="005B75A5"/>
    <w:rsid w:val="005B75B6"/>
    <w:rsid w:val="005B7909"/>
    <w:rsid w:val="005B7F6E"/>
    <w:rsid w:val="005C05F1"/>
    <w:rsid w:val="005C12AC"/>
    <w:rsid w:val="005C13A3"/>
    <w:rsid w:val="005C177F"/>
    <w:rsid w:val="005C18A6"/>
    <w:rsid w:val="005C1C90"/>
    <w:rsid w:val="005C1CEF"/>
    <w:rsid w:val="005C1F6E"/>
    <w:rsid w:val="005C241D"/>
    <w:rsid w:val="005C2BF1"/>
    <w:rsid w:val="005C3964"/>
    <w:rsid w:val="005C39A9"/>
    <w:rsid w:val="005C3D1F"/>
    <w:rsid w:val="005C417A"/>
    <w:rsid w:val="005C428A"/>
    <w:rsid w:val="005C4330"/>
    <w:rsid w:val="005C4787"/>
    <w:rsid w:val="005C487C"/>
    <w:rsid w:val="005C48E1"/>
    <w:rsid w:val="005C5113"/>
    <w:rsid w:val="005C54B8"/>
    <w:rsid w:val="005C557C"/>
    <w:rsid w:val="005C56B7"/>
    <w:rsid w:val="005C5CDF"/>
    <w:rsid w:val="005C66EB"/>
    <w:rsid w:val="005C677E"/>
    <w:rsid w:val="005C68E7"/>
    <w:rsid w:val="005C6A82"/>
    <w:rsid w:val="005C6B0C"/>
    <w:rsid w:val="005C6BD2"/>
    <w:rsid w:val="005C6CD0"/>
    <w:rsid w:val="005C7072"/>
    <w:rsid w:val="005C758A"/>
    <w:rsid w:val="005C785E"/>
    <w:rsid w:val="005C78D5"/>
    <w:rsid w:val="005D00B6"/>
    <w:rsid w:val="005D0E82"/>
    <w:rsid w:val="005D101F"/>
    <w:rsid w:val="005D1247"/>
    <w:rsid w:val="005D19D4"/>
    <w:rsid w:val="005D1A10"/>
    <w:rsid w:val="005D1D60"/>
    <w:rsid w:val="005D205D"/>
    <w:rsid w:val="005D2F54"/>
    <w:rsid w:val="005D3370"/>
    <w:rsid w:val="005D33D2"/>
    <w:rsid w:val="005D353D"/>
    <w:rsid w:val="005D3E97"/>
    <w:rsid w:val="005D3FD5"/>
    <w:rsid w:val="005D403C"/>
    <w:rsid w:val="005D42BA"/>
    <w:rsid w:val="005D463B"/>
    <w:rsid w:val="005D4E2C"/>
    <w:rsid w:val="005D5562"/>
    <w:rsid w:val="005D593D"/>
    <w:rsid w:val="005D6377"/>
    <w:rsid w:val="005D63A5"/>
    <w:rsid w:val="005D69A4"/>
    <w:rsid w:val="005D6B95"/>
    <w:rsid w:val="005D79B5"/>
    <w:rsid w:val="005D7BDA"/>
    <w:rsid w:val="005D7E90"/>
    <w:rsid w:val="005D7FED"/>
    <w:rsid w:val="005E0A1F"/>
    <w:rsid w:val="005E0A7C"/>
    <w:rsid w:val="005E0DEA"/>
    <w:rsid w:val="005E0E81"/>
    <w:rsid w:val="005E1667"/>
    <w:rsid w:val="005E17B3"/>
    <w:rsid w:val="005E1BB5"/>
    <w:rsid w:val="005E1BD6"/>
    <w:rsid w:val="005E20D0"/>
    <w:rsid w:val="005E2793"/>
    <w:rsid w:val="005E28EB"/>
    <w:rsid w:val="005E2A79"/>
    <w:rsid w:val="005E2D15"/>
    <w:rsid w:val="005E2EDB"/>
    <w:rsid w:val="005E2FB1"/>
    <w:rsid w:val="005E3485"/>
    <w:rsid w:val="005E3850"/>
    <w:rsid w:val="005E3EB4"/>
    <w:rsid w:val="005E40C8"/>
    <w:rsid w:val="005E43DF"/>
    <w:rsid w:val="005E48DE"/>
    <w:rsid w:val="005E4F3B"/>
    <w:rsid w:val="005E52DA"/>
    <w:rsid w:val="005E566F"/>
    <w:rsid w:val="005E57C0"/>
    <w:rsid w:val="005E62D3"/>
    <w:rsid w:val="005E64AF"/>
    <w:rsid w:val="005E6B2D"/>
    <w:rsid w:val="005E6BE9"/>
    <w:rsid w:val="005E6CE9"/>
    <w:rsid w:val="005E71A5"/>
    <w:rsid w:val="005E73EC"/>
    <w:rsid w:val="005E777B"/>
    <w:rsid w:val="005F03D5"/>
    <w:rsid w:val="005F0860"/>
    <w:rsid w:val="005F14A7"/>
    <w:rsid w:val="005F1B20"/>
    <w:rsid w:val="005F1E18"/>
    <w:rsid w:val="005F2533"/>
    <w:rsid w:val="005F27E0"/>
    <w:rsid w:val="005F29C0"/>
    <w:rsid w:val="005F2A66"/>
    <w:rsid w:val="005F2B32"/>
    <w:rsid w:val="005F3176"/>
    <w:rsid w:val="005F3549"/>
    <w:rsid w:val="005F3D8C"/>
    <w:rsid w:val="005F54B4"/>
    <w:rsid w:val="005F5576"/>
    <w:rsid w:val="005F5A4E"/>
    <w:rsid w:val="005F5A6F"/>
    <w:rsid w:val="005F5C6D"/>
    <w:rsid w:val="005F5D95"/>
    <w:rsid w:val="005F5E8E"/>
    <w:rsid w:val="005F60E6"/>
    <w:rsid w:val="005F61DD"/>
    <w:rsid w:val="005F6407"/>
    <w:rsid w:val="005F64F5"/>
    <w:rsid w:val="005F7608"/>
    <w:rsid w:val="005F764A"/>
    <w:rsid w:val="005F7895"/>
    <w:rsid w:val="005F7C17"/>
    <w:rsid w:val="0060008E"/>
    <w:rsid w:val="006003DF"/>
    <w:rsid w:val="006005C1"/>
    <w:rsid w:val="00600661"/>
    <w:rsid w:val="00600A23"/>
    <w:rsid w:val="006011A0"/>
    <w:rsid w:val="00602475"/>
    <w:rsid w:val="00602A78"/>
    <w:rsid w:val="00602BCA"/>
    <w:rsid w:val="00602D87"/>
    <w:rsid w:val="00602DF4"/>
    <w:rsid w:val="0060305F"/>
    <w:rsid w:val="006034C7"/>
    <w:rsid w:val="00603C66"/>
    <w:rsid w:val="00604617"/>
    <w:rsid w:val="00604710"/>
    <w:rsid w:val="00604730"/>
    <w:rsid w:val="006049CE"/>
    <w:rsid w:val="00604AE3"/>
    <w:rsid w:val="00604D1B"/>
    <w:rsid w:val="00604D9C"/>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057"/>
    <w:rsid w:val="0061324B"/>
    <w:rsid w:val="0061330F"/>
    <w:rsid w:val="00613641"/>
    <w:rsid w:val="0061364B"/>
    <w:rsid w:val="00614139"/>
    <w:rsid w:val="00614483"/>
    <w:rsid w:val="0061478C"/>
    <w:rsid w:val="0061516E"/>
    <w:rsid w:val="006151BC"/>
    <w:rsid w:val="00615204"/>
    <w:rsid w:val="006154F0"/>
    <w:rsid w:val="00615A37"/>
    <w:rsid w:val="00615E77"/>
    <w:rsid w:val="006162A3"/>
    <w:rsid w:val="006167A8"/>
    <w:rsid w:val="00616B8A"/>
    <w:rsid w:val="00616C7D"/>
    <w:rsid w:val="006172EE"/>
    <w:rsid w:val="0061735F"/>
    <w:rsid w:val="00617A80"/>
    <w:rsid w:val="00617F9A"/>
    <w:rsid w:val="006205E1"/>
    <w:rsid w:val="00620703"/>
    <w:rsid w:val="006208EE"/>
    <w:rsid w:val="0062091D"/>
    <w:rsid w:val="00620C44"/>
    <w:rsid w:val="0062100E"/>
    <w:rsid w:val="006211A5"/>
    <w:rsid w:val="006219BC"/>
    <w:rsid w:val="00622789"/>
    <w:rsid w:val="006229A6"/>
    <w:rsid w:val="00622F8E"/>
    <w:rsid w:val="006233C1"/>
    <w:rsid w:val="0062359C"/>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4E2"/>
    <w:rsid w:val="00631716"/>
    <w:rsid w:val="0063179F"/>
    <w:rsid w:val="006317A4"/>
    <w:rsid w:val="00632259"/>
    <w:rsid w:val="00632765"/>
    <w:rsid w:val="00632782"/>
    <w:rsid w:val="00632DD8"/>
    <w:rsid w:val="006338DA"/>
    <w:rsid w:val="0063390C"/>
    <w:rsid w:val="00633A5E"/>
    <w:rsid w:val="00633C32"/>
    <w:rsid w:val="00633F74"/>
    <w:rsid w:val="006349B7"/>
    <w:rsid w:val="00635009"/>
    <w:rsid w:val="00635784"/>
    <w:rsid w:val="006357F2"/>
    <w:rsid w:val="00635AEB"/>
    <w:rsid w:val="00636C23"/>
    <w:rsid w:val="00636EF8"/>
    <w:rsid w:val="00636FEF"/>
    <w:rsid w:val="0063715F"/>
    <w:rsid w:val="006377DB"/>
    <w:rsid w:val="006378EC"/>
    <w:rsid w:val="00637E6F"/>
    <w:rsid w:val="006405A2"/>
    <w:rsid w:val="00640699"/>
    <w:rsid w:val="006407E0"/>
    <w:rsid w:val="0064096C"/>
    <w:rsid w:val="00640C0B"/>
    <w:rsid w:val="00641398"/>
    <w:rsid w:val="006417E0"/>
    <w:rsid w:val="006418D2"/>
    <w:rsid w:val="006419D4"/>
    <w:rsid w:val="00641E1E"/>
    <w:rsid w:val="00642453"/>
    <w:rsid w:val="00642588"/>
    <w:rsid w:val="00642687"/>
    <w:rsid w:val="00642702"/>
    <w:rsid w:val="006432B0"/>
    <w:rsid w:val="006443B2"/>
    <w:rsid w:val="006444AA"/>
    <w:rsid w:val="00644746"/>
    <w:rsid w:val="00645210"/>
    <w:rsid w:val="0064524B"/>
    <w:rsid w:val="00645933"/>
    <w:rsid w:val="006459B3"/>
    <w:rsid w:val="00645D57"/>
    <w:rsid w:val="00646624"/>
    <w:rsid w:val="00646970"/>
    <w:rsid w:val="00646FDD"/>
    <w:rsid w:val="0064739A"/>
    <w:rsid w:val="00647C38"/>
    <w:rsid w:val="00647D39"/>
    <w:rsid w:val="006500A2"/>
    <w:rsid w:val="0065058D"/>
    <w:rsid w:val="00650709"/>
    <w:rsid w:val="00650C5E"/>
    <w:rsid w:val="006510C9"/>
    <w:rsid w:val="00651147"/>
    <w:rsid w:val="0065131D"/>
    <w:rsid w:val="00651DC1"/>
    <w:rsid w:val="00651FD6"/>
    <w:rsid w:val="00652327"/>
    <w:rsid w:val="0065234B"/>
    <w:rsid w:val="0065252C"/>
    <w:rsid w:val="00652C53"/>
    <w:rsid w:val="00653572"/>
    <w:rsid w:val="00653AC4"/>
    <w:rsid w:val="00653C52"/>
    <w:rsid w:val="006540C1"/>
    <w:rsid w:val="00654642"/>
    <w:rsid w:val="00654AF4"/>
    <w:rsid w:val="00654CB8"/>
    <w:rsid w:val="0065561D"/>
    <w:rsid w:val="006556D9"/>
    <w:rsid w:val="00655BF9"/>
    <w:rsid w:val="00655F61"/>
    <w:rsid w:val="00656112"/>
    <w:rsid w:val="006562F3"/>
    <w:rsid w:val="006565D3"/>
    <w:rsid w:val="00656F87"/>
    <w:rsid w:val="00656FC3"/>
    <w:rsid w:val="00657081"/>
    <w:rsid w:val="00657490"/>
    <w:rsid w:val="00657693"/>
    <w:rsid w:val="00657861"/>
    <w:rsid w:val="00657B97"/>
    <w:rsid w:val="00660010"/>
    <w:rsid w:val="00660083"/>
    <w:rsid w:val="0066026B"/>
    <w:rsid w:val="00660680"/>
    <w:rsid w:val="00660BFB"/>
    <w:rsid w:val="00660E23"/>
    <w:rsid w:val="006610D9"/>
    <w:rsid w:val="00662155"/>
    <w:rsid w:val="00662A70"/>
    <w:rsid w:val="00662AF9"/>
    <w:rsid w:val="00662C14"/>
    <w:rsid w:val="00662C97"/>
    <w:rsid w:val="00662CBB"/>
    <w:rsid w:val="00662F3E"/>
    <w:rsid w:val="006630C6"/>
    <w:rsid w:val="00663688"/>
    <w:rsid w:val="0066398B"/>
    <w:rsid w:val="00663F53"/>
    <w:rsid w:val="0066486A"/>
    <w:rsid w:val="006650D6"/>
    <w:rsid w:val="0066527F"/>
    <w:rsid w:val="00666754"/>
    <w:rsid w:val="00666AEA"/>
    <w:rsid w:val="00667025"/>
    <w:rsid w:val="0066783D"/>
    <w:rsid w:val="00667F74"/>
    <w:rsid w:val="00667FB2"/>
    <w:rsid w:val="00670009"/>
    <w:rsid w:val="006702EB"/>
    <w:rsid w:val="00670D2E"/>
    <w:rsid w:val="0067269F"/>
    <w:rsid w:val="006726CB"/>
    <w:rsid w:val="0067272F"/>
    <w:rsid w:val="0067385F"/>
    <w:rsid w:val="00673BA4"/>
    <w:rsid w:val="00673FED"/>
    <w:rsid w:val="00674B83"/>
    <w:rsid w:val="00674C5D"/>
    <w:rsid w:val="00674ED8"/>
    <w:rsid w:val="006755B4"/>
    <w:rsid w:val="00675793"/>
    <w:rsid w:val="00675AD4"/>
    <w:rsid w:val="00675C5E"/>
    <w:rsid w:val="00676F0B"/>
    <w:rsid w:val="006771F8"/>
    <w:rsid w:val="006773D1"/>
    <w:rsid w:val="006801BB"/>
    <w:rsid w:val="006802E3"/>
    <w:rsid w:val="00680CC6"/>
    <w:rsid w:val="00681FF0"/>
    <w:rsid w:val="0068223D"/>
    <w:rsid w:val="00682278"/>
    <w:rsid w:val="0068241B"/>
    <w:rsid w:val="00683889"/>
    <w:rsid w:val="006842A2"/>
    <w:rsid w:val="006848BB"/>
    <w:rsid w:val="00685075"/>
    <w:rsid w:val="006850E0"/>
    <w:rsid w:val="00685103"/>
    <w:rsid w:val="00685339"/>
    <w:rsid w:val="00685597"/>
    <w:rsid w:val="00686338"/>
    <w:rsid w:val="006869CB"/>
    <w:rsid w:val="00686F56"/>
    <w:rsid w:val="00687318"/>
    <w:rsid w:val="0068731C"/>
    <w:rsid w:val="006874E7"/>
    <w:rsid w:val="006904AD"/>
    <w:rsid w:val="006905F1"/>
    <w:rsid w:val="006912E6"/>
    <w:rsid w:val="006914E9"/>
    <w:rsid w:val="006915F9"/>
    <w:rsid w:val="00691815"/>
    <w:rsid w:val="00691A7C"/>
    <w:rsid w:val="00691CDA"/>
    <w:rsid w:val="00691E51"/>
    <w:rsid w:val="00691F0B"/>
    <w:rsid w:val="006920CA"/>
    <w:rsid w:val="006927F0"/>
    <w:rsid w:val="00692C4E"/>
    <w:rsid w:val="00693229"/>
    <w:rsid w:val="0069335F"/>
    <w:rsid w:val="006936DB"/>
    <w:rsid w:val="00693801"/>
    <w:rsid w:val="00694042"/>
    <w:rsid w:val="006944B8"/>
    <w:rsid w:val="00694706"/>
    <w:rsid w:val="00694DF8"/>
    <w:rsid w:val="006952E1"/>
    <w:rsid w:val="006956E0"/>
    <w:rsid w:val="00695D95"/>
    <w:rsid w:val="00695DBC"/>
    <w:rsid w:val="00695DDA"/>
    <w:rsid w:val="00696136"/>
    <w:rsid w:val="00696243"/>
    <w:rsid w:val="006962E6"/>
    <w:rsid w:val="0069657D"/>
    <w:rsid w:val="00696A8E"/>
    <w:rsid w:val="00696B16"/>
    <w:rsid w:val="00696CC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546"/>
    <w:rsid w:val="006B17D8"/>
    <w:rsid w:val="006B1C4B"/>
    <w:rsid w:val="006B1E59"/>
    <w:rsid w:val="006B2995"/>
    <w:rsid w:val="006B2F13"/>
    <w:rsid w:val="006B3EFD"/>
    <w:rsid w:val="006B40C8"/>
    <w:rsid w:val="006B465A"/>
    <w:rsid w:val="006B472A"/>
    <w:rsid w:val="006B4D3B"/>
    <w:rsid w:val="006B5182"/>
    <w:rsid w:val="006B5344"/>
    <w:rsid w:val="006B549F"/>
    <w:rsid w:val="006B65CB"/>
    <w:rsid w:val="006B765D"/>
    <w:rsid w:val="006B7FB8"/>
    <w:rsid w:val="006C0867"/>
    <w:rsid w:val="006C0930"/>
    <w:rsid w:val="006C12F3"/>
    <w:rsid w:val="006C215A"/>
    <w:rsid w:val="006C24C7"/>
    <w:rsid w:val="006C273C"/>
    <w:rsid w:val="006C27A9"/>
    <w:rsid w:val="006C374A"/>
    <w:rsid w:val="006C394A"/>
    <w:rsid w:val="006C3A0F"/>
    <w:rsid w:val="006C479E"/>
    <w:rsid w:val="006C55EF"/>
    <w:rsid w:val="006C5713"/>
    <w:rsid w:val="006C57FE"/>
    <w:rsid w:val="006C5AB5"/>
    <w:rsid w:val="006C6756"/>
    <w:rsid w:val="006C6E36"/>
    <w:rsid w:val="006C705E"/>
    <w:rsid w:val="006C7216"/>
    <w:rsid w:val="006C7266"/>
    <w:rsid w:val="006D021E"/>
    <w:rsid w:val="006D045E"/>
    <w:rsid w:val="006D0B6D"/>
    <w:rsid w:val="006D1549"/>
    <w:rsid w:val="006D1A55"/>
    <w:rsid w:val="006D1A5F"/>
    <w:rsid w:val="006D381C"/>
    <w:rsid w:val="006D39EA"/>
    <w:rsid w:val="006D3CE0"/>
    <w:rsid w:val="006D4801"/>
    <w:rsid w:val="006D487E"/>
    <w:rsid w:val="006D4A33"/>
    <w:rsid w:val="006D5048"/>
    <w:rsid w:val="006D53DF"/>
    <w:rsid w:val="006D54F7"/>
    <w:rsid w:val="006D5604"/>
    <w:rsid w:val="006D5CDA"/>
    <w:rsid w:val="006D7902"/>
    <w:rsid w:val="006D7C9D"/>
    <w:rsid w:val="006D7D85"/>
    <w:rsid w:val="006D7ECF"/>
    <w:rsid w:val="006E045E"/>
    <w:rsid w:val="006E09E9"/>
    <w:rsid w:val="006E0B21"/>
    <w:rsid w:val="006E1390"/>
    <w:rsid w:val="006E171B"/>
    <w:rsid w:val="006E1C11"/>
    <w:rsid w:val="006E2C6D"/>
    <w:rsid w:val="006E3237"/>
    <w:rsid w:val="006E33D2"/>
    <w:rsid w:val="006E374B"/>
    <w:rsid w:val="006E3B50"/>
    <w:rsid w:val="006E3FE7"/>
    <w:rsid w:val="006E44D3"/>
    <w:rsid w:val="006E4705"/>
    <w:rsid w:val="006E470D"/>
    <w:rsid w:val="006E49DF"/>
    <w:rsid w:val="006E4CBC"/>
    <w:rsid w:val="006E4E81"/>
    <w:rsid w:val="006E510A"/>
    <w:rsid w:val="006E58CF"/>
    <w:rsid w:val="006E6241"/>
    <w:rsid w:val="006E645F"/>
    <w:rsid w:val="006E6647"/>
    <w:rsid w:val="006E6F3D"/>
    <w:rsid w:val="006E754B"/>
    <w:rsid w:val="006E7D9E"/>
    <w:rsid w:val="006F117D"/>
    <w:rsid w:val="006F1195"/>
    <w:rsid w:val="006F13F3"/>
    <w:rsid w:val="006F14E1"/>
    <w:rsid w:val="006F1DBD"/>
    <w:rsid w:val="006F1DC3"/>
    <w:rsid w:val="006F1E00"/>
    <w:rsid w:val="006F1F53"/>
    <w:rsid w:val="006F20B1"/>
    <w:rsid w:val="006F301F"/>
    <w:rsid w:val="006F46EC"/>
    <w:rsid w:val="006F491B"/>
    <w:rsid w:val="006F4C71"/>
    <w:rsid w:val="006F5847"/>
    <w:rsid w:val="006F5B1A"/>
    <w:rsid w:val="006F5F76"/>
    <w:rsid w:val="006F6790"/>
    <w:rsid w:val="006F6813"/>
    <w:rsid w:val="006F76AB"/>
    <w:rsid w:val="006F7C26"/>
    <w:rsid w:val="00700408"/>
    <w:rsid w:val="00700821"/>
    <w:rsid w:val="007010A7"/>
    <w:rsid w:val="007011D1"/>
    <w:rsid w:val="007011D8"/>
    <w:rsid w:val="00701CC8"/>
    <w:rsid w:val="00702723"/>
    <w:rsid w:val="0070303A"/>
    <w:rsid w:val="00703050"/>
    <w:rsid w:val="0070328F"/>
    <w:rsid w:val="007037D6"/>
    <w:rsid w:val="00704310"/>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8B2"/>
    <w:rsid w:val="00711C0F"/>
    <w:rsid w:val="00711CB9"/>
    <w:rsid w:val="00712020"/>
    <w:rsid w:val="00712026"/>
    <w:rsid w:val="007121C0"/>
    <w:rsid w:val="0071224A"/>
    <w:rsid w:val="00712638"/>
    <w:rsid w:val="00712685"/>
    <w:rsid w:val="0071276A"/>
    <w:rsid w:val="00712B22"/>
    <w:rsid w:val="00712D93"/>
    <w:rsid w:val="007139BF"/>
    <w:rsid w:val="00713C11"/>
    <w:rsid w:val="007148C1"/>
    <w:rsid w:val="00714A38"/>
    <w:rsid w:val="00714B10"/>
    <w:rsid w:val="00714B64"/>
    <w:rsid w:val="00714BA7"/>
    <w:rsid w:val="00714F03"/>
    <w:rsid w:val="00715703"/>
    <w:rsid w:val="00715C06"/>
    <w:rsid w:val="00716A6C"/>
    <w:rsid w:val="00716D4E"/>
    <w:rsid w:val="0071717E"/>
    <w:rsid w:val="00717F58"/>
    <w:rsid w:val="00720A2C"/>
    <w:rsid w:val="00720B85"/>
    <w:rsid w:val="00720C22"/>
    <w:rsid w:val="00720C6E"/>
    <w:rsid w:val="00720E58"/>
    <w:rsid w:val="00720E79"/>
    <w:rsid w:val="00721989"/>
    <w:rsid w:val="00722BE6"/>
    <w:rsid w:val="00722CD9"/>
    <w:rsid w:val="00722EF9"/>
    <w:rsid w:val="007232F1"/>
    <w:rsid w:val="00723F60"/>
    <w:rsid w:val="0072426C"/>
    <w:rsid w:val="007242AA"/>
    <w:rsid w:val="0072454A"/>
    <w:rsid w:val="007245B1"/>
    <w:rsid w:val="00724952"/>
    <w:rsid w:val="00724BC0"/>
    <w:rsid w:val="00724CD4"/>
    <w:rsid w:val="007256D2"/>
    <w:rsid w:val="00725D1A"/>
    <w:rsid w:val="00725DF3"/>
    <w:rsid w:val="00726451"/>
    <w:rsid w:val="00726AD6"/>
    <w:rsid w:val="00726B7D"/>
    <w:rsid w:val="00726B8C"/>
    <w:rsid w:val="00727285"/>
    <w:rsid w:val="00727380"/>
    <w:rsid w:val="00727D91"/>
    <w:rsid w:val="00727E44"/>
    <w:rsid w:val="007300E1"/>
    <w:rsid w:val="00730152"/>
    <w:rsid w:val="007301B7"/>
    <w:rsid w:val="0073071A"/>
    <w:rsid w:val="00730DD2"/>
    <w:rsid w:val="007310E4"/>
    <w:rsid w:val="00731129"/>
    <w:rsid w:val="007312BF"/>
    <w:rsid w:val="007313E8"/>
    <w:rsid w:val="0073208C"/>
    <w:rsid w:val="00732121"/>
    <w:rsid w:val="00732732"/>
    <w:rsid w:val="0073397C"/>
    <w:rsid w:val="00734051"/>
    <w:rsid w:val="00734519"/>
    <w:rsid w:val="0073458B"/>
    <w:rsid w:val="00734B84"/>
    <w:rsid w:val="00735208"/>
    <w:rsid w:val="0073570D"/>
    <w:rsid w:val="00735EBF"/>
    <w:rsid w:val="007365ED"/>
    <w:rsid w:val="00736927"/>
    <w:rsid w:val="00736A93"/>
    <w:rsid w:val="00736D31"/>
    <w:rsid w:val="00737A4B"/>
    <w:rsid w:val="00740008"/>
    <w:rsid w:val="007402B1"/>
    <w:rsid w:val="00741355"/>
    <w:rsid w:val="007415A1"/>
    <w:rsid w:val="00741BA2"/>
    <w:rsid w:val="00741BB8"/>
    <w:rsid w:val="00741C56"/>
    <w:rsid w:val="00741C83"/>
    <w:rsid w:val="00741E9A"/>
    <w:rsid w:val="0074263B"/>
    <w:rsid w:val="00742891"/>
    <w:rsid w:val="00742C3D"/>
    <w:rsid w:val="00742DAD"/>
    <w:rsid w:val="00743455"/>
    <w:rsid w:val="007435B8"/>
    <w:rsid w:val="00743B39"/>
    <w:rsid w:val="007444AE"/>
    <w:rsid w:val="007447C6"/>
    <w:rsid w:val="007449FE"/>
    <w:rsid w:val="00744CEC"/>
    <w:rsid w:val="007454F9"/>
    <w:rsid w:val="00745A05"/>
    <w:rsid w:val="00745F8E"/>
    <w:rsid w:val="007461AF"/>
    <w:rsid w:val="00746564"/>
    <w:rsid w:val="00746721"/>
    <w:rsid w:val="007469D0"/>
    <w:rsid w:val="00747741"/>
    <w:rsid w:val="0075037F"/>
    <w:rsid w:val="007505F4"/>
    <w:rsid w:val="00750979"/>
    <w:rsid w:val="00751313"/>
    <w:rsid w:val="007514AA"/>
    <w:rsid w:val="00751760"/>
    <w:rsid w:val="007518C9"/>
    <w:rsid w:val="0075195A"/>
    <w:rsid w:val="00752107"/>
    <w:rsid w:val="0075218A"/>
    <w:rsid w:val="00752238"/>
    <w:rsid w:val="00752DE0"/>
    <w:rsid w:val="00752E14"/>
    <w:rsid w:val="00753DA5"/>
    <w:rsid w:val="0075432D"/>
    <w:rsid w:val="00754D81"/>
    <w:rsid w:val="00754E53"/>
    <w:rsid w:val="0075502B"/>
    <w:rsid w:val="0075532D"/>
    <w:rsid w:val="00755633"/>
    <w:rsid w:val="00755B6F"/>
    <w:rsid w:val="00756A17"/>
    <w:rsid w:val="00756B41"/>
    <w:rsid w:val="007572B6"/>
    <w:rsid w:val="007574CC"/>
    <w:rsid w:val="007576EC"/>
    <w:rsid w:val="00757957"/>
    <w:rsid w:val="00757C3A"/>
    <w:rsid w:val="00760518"/>
    <w:rsid w:val="00760978"/>
    <w:rsid w:val="00760981"/>
    <w:rsid w:val="00760D42"/>
    <w:rsid w:val="00761EE2"/>
    <w:rsid w:val="00762390"/>
    <w:rsid w:val="007623B0"/>
    <w:rsid w:val="00762777"/>
    <w:rsid w:val="0076299D"/>
    <w:rsid w:val="00762A7D"/>
    <w:rsid w:val="007636CB"/>
    <w:rsid w:val="00763B9E"/>
    <w:rsid w:val="00764588"/>
    <w:rsid w:val="007648FE"/>
    <w:rsid w:val="00764B39"/>
    <w:rsid w:val="00764CA2"/>
    <w:rsid w:val="00764DE6"/>
    <w:rsid w:val="00765FAC"/>
    <w:rsid w:val="007664EA"/>
    <w:rsid w:val="007667C4"/>
    <w:rsid w:val="007670FC"/>
    <w:rsid w:val="00767282"/>
    <w:rsid w:val="007678B9"/>
    <w:rsid w:val="00767DDD"/>
    <w:rsid w:val="00767F7F"/>
    <w:rsid w:val="007701BE"/>
    <w:rsid w:val="007703EA"/>
    <w:rsid w:val="00770C49"/>
    <w:rsid w:val="0077130E"/>
    <w:rsid w:val="007713D7"/>
    <w:rsid w:val="00771B63"/>
    <w:rsid w:val="00771BF6"/>
    <w:rsid w:val="0077249A"/>
    <w:rsid w:val="0077251F"/>
    <w:rsid w:val="0077262C"/>
    <w:rsid w:val="007726D9"/>
    <w:rsid w:val="00772A29"/>
    <w:rsid w:val="007733E9"/>
    <w:rsid w:val="007736AC"/>
    <w:rsid w:val="00773B3E"/>
    <w:rsid w:val="00773E65"/>
    <w:rsid w:val="007741B0"/>
    <w:rsid w:val="007741F9"/>
    <w:rsid w:val="007745D3"/>
    <w:rsid w:val="007746DC"/>
    <w:rsid w:val="0077558B"/>
    <w:rsid w:val="007756E4"/>
    <w:rsid w:val="00776874"/>
    <w:rsid w:val="00776938"/>
    <w:rsid w:val="0077726C"/>
    <w:rsid w:val="00777518"/>
    <w:rsid w:val="0077762B"/>
    <w:rsid w:val="00777AAB"/>
    <w:rsid w:val="00780747"/>
    <w:rsid w:val="00780FF9"/>
    <w:rsid w:val="007811BA"/>
    <w:rsid w:val="0078152A"/>
    <w:rsid w:val="0078285C"/>
    <w:rsid w:val="007829E4"/>
    <w:rsid w:val="00782B30"/>
    <w:rsid w:val="007832F5"/>
    <w:rsid w:val="00783952"/>
    <w:rsid w:val="00783A36"/>
    <w:rsid w:val="007845D4"/>
    <w:rsid w:val="00784DF0"/>
    <w:rsid w:val="00785A38"/>
    <w:rsid w:val="00785C2A"/>
    <w:rsid w:val="0078668F"/>
    <w:rsid w:val="007866F2"/>
    <w:rsid w:val="00786706"/>
    <w:rsid w:val="00786B63"/>
    <w:rsid w:val="0078700E"/>
    <w:rsid w:val="00787339"/>
    <w:rsid w:val="00787B59"/>
    <w:rsid w:val="007900A9"/>
    <w:rsid w:val="007900FA"/>
    <w:rsid w:val="0079052F"/>
    <w:rsid w:val="007910C3"/>
    <w:rsid w:val="00791110"/>
    <w:rsid w:val="00791250"/>
    <w:rsid w:val="0079150D"/>
    <w:rsid w:val="00791C7E"/>
    <w:rsid w:val="00791DE1"/>
    <w:rsid w:val="00793181"/>
    <w:rsid w:val="007936BD"/>
    <w:rsid w:val="007936C1"/>
    <w:rsid w:val="0079385B"/>
    <w:rsid w:val="00793D45"/>
    <w:rsid w:val="0079418D"/>
    <w:rsid w:val="00795051"/>
    <w:rsid w:val="007952E6"/>
    <w:rsid w:val="007953F4"/>
    <w:rsid w:val="00795E20"/>
    <w:rsid w:val="007962D0"/>
    <w:rsid w:val="00796787"/>
    <w:rsid w:val="00796BC9"/>
    <w:rsid w:val="007975BD"/>
    <w:rsid w:val="00797744"/>
    <w:rsid w:val="00797B7E"/>
    <w:rsid w:val="00797B87"/>
    <w:rsid w:val="007A03CF"/>
    <w:rsid w:val="007A05A2"/>
    <w:rsid w:val="007A10D6"/>
    <w:rsid w:val="007A12EE"/>
    <w:rsid w:val="007A138C"/>
    <w:rsid w:val="007A1834"/>
    <w:rsid w:val="007A1856"/>
    <w:rsid w:val="007A1B6B"/>
    <w:rsid w:val="007A1E52"/>
    <w:rsid w:val="007A1FBE"/>
    <w:rsid w:val="007A214B"/>
    <w:rsid w:val="007A2A4D"/>
    <w:rsid w:val="007A31B2"/>
    <w:rsid w:val="007A3629"/>
    <w:rsid w:val="007A385C"/>
    <w:rsid w:val="007A38F5"/>
    <w:rsid w:val="007A3BDA"/>
    <w:rsid w:val="007A3D24"/>
    <w:rsid w:val="007A3D38"/>
    <w:rsid w:val="007A4014"/>
    <w:rsid w:val="007A4860"/>
    <w:rsid w:val="007A4CAF"/>
    <w:rsid w:val="007A4F73"/>
    <w:rsid w:val="007A4F7B"/>
    <w:rsid w:val="007A56A2"/>
    <w:rsid w:val="007A5823"/>
    <w:rsid w:val="007A5D0B"/>
    <w:rsid w:val="007A5DCF"/>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5D81"/>
    <w:rsid w:val="007B69E8"/>
    <w:rsid w:val="007B6B45"/>
    <w:rsid w:val="007B6C17"/>
    <w:rsid w:val="007B743C"/>
    <w:rsid w:val="007B7AE3"/>
    <w:rsid w:val="007C0165"/>
    <w:rsid w:val="007C048B"/>
    <w:rsid w:val="007C0508"/>
    <w:rsid w:val="007C057E"/>
    <w:rsid w:val="007C0EE1"/>
    <w:rsid w:val="007C1541"/>
    <w:rsid w:val="007C19DF"/>
    <w:rsid w:val="007C25F8"/>
    <w:rsid w:val="007C29E0"/>
    <w:rsid w:val="007C31FA"/>
    <w:rsid w:val="007C3BAD"/>
    <w:rsid w:val="007C44DC"/>
    <w:rsid w:val="007C4545"/>
    <w:rsid w:val="007C45F7"/>
    <w:rsid w:val="007C46D1"/>
    <w:rsid w:val="007C47C2"/>
    <w:rsid w:val="007C4822"/>
    <w:rsid w:val="007C4DEF"/>
    <w:rsid w:val="007C4F97"/>
    <w:rsid w:val="007C5468"/>
    <w:rsid w:val="007C55F1"/>
    <w:rsid w:val="007C58AB"/>
    <w:rsid w:val="007C595B"/>
    <w:rsid w:val="007C5D6B"/>
    <w:rsid w:val="007C6148"/>
    <w:rsid w:val="007C63B7"/>
    <w:rsid w:val="007C6900"/>
    <w:rsid w:val="007C69A9"/>
    <w:rsid w:val="007C6C60"/>
    <w:rsid w:val="007C6D07"/>
    <w:rsid w:val="007C6F30"/>
    <w:rsid w:val="007C745C"/>
    <w:rsid w:val="007C7578"/>
    <w:rsid w:val="007C7E7C"/>
    <w:rsid w:val="007C7F4C"/>
    <w:rsid w:val="007D0507"/>
    <w:rsid w:val="007D065E"/>
    <w:rsid w:val="007D0A94"/>
    <w:rsid w:val="007D0B22"/>
    <w:rsid w:val="007D0BD6"/>
    <w:rsid w:val="007D0D5B"/>
    <w:rsid w:val="007D143D"/>
    <w:rsid w:val="007D1964"/>
    <w:rsid w:val="007D1A71"/>
    <w:rsid w:val="007D1F22"/>
    <w:rsid w:val="007D240D"/>
    <w:rsid w:val="007D2464"/>
    <w:rsid w:val="007D25B9"/>
    <w:rsid w:val="007D2BE8"/>
    <w:rsid w:val="007D3066"/>
    <w:rsid w:val="007D338B"/>
    <w:rsid w:val="007D3B0F"/>
    <w:rsid w:val="007D40D9"/>
    <w:rsid w:val="007D421B"/>
    <w:rsid w:val="007D4490"/>
    <w:rsid w:val="007D4579"/>
    <w:rsid w:val="007D51EB"/>
    <w:rsid w:val="007D52F0"/>
    <w:rsid w:val="007D58BB"/>
    <w:rsid w:val="007D6835"/>
    <w:rsid w:val="007D6A93"/>
    <w:rsid w:val="007D6EED"/>
    <w:rsid w:val="007D795B"/>
    <w:rsid w:val="007D7CDE"/>
    <w:rsid w:val="007D7DC7"/>
    <w:rsid w:val="007E01AF"/>
    <w:rsid w:val="007E0772"/>
    <w:rsid w:val="007E0906"/>
    <w:rsid w:val="007E0A12"/>
    <w:rsid w:val="007E0D31"/>
    <w:rsid w:val="007E0E04"/>
    <w:rsid w:val="007E0EF9"/>
    <w:rsid w:val="007E0FD3"/>
    <w:rsid w:val="007E12A7"/>
    <w:rsid w:val="007E21D9"/>
    <w:rsid w:val="007E2BDD"/>
    <w:rsid w:val="007E2D8B"/>
    <w:rsid w:val="007E322F"/>
    <w:rsid w:val="007E45CA"/>
    <w:rsid w:val="007E48C0"/>
    <w:rsid w:val="007E5885"/>
    <w:rsid w:val="007E61B7"/>
    <w:rsid w:val="007E64FF"/>
    <w:rsid w:val="007E6F62"/>
    <w:rsid w:val="007E6FEA"/>
    <w:rsid w:val="007E7C7B"/>
    <w:rsid w:val="007E7E0F"/>
    <w:rsid w:val="007E7F8F"/>
    <w:rsid w:val="007F0138"/>
    <w:rsid w:val="007F015E"/>
    <w:rsid w:val="007F075B"/>
    <w:rsid w:val="007F081A"/>
    <w:rsid w:val="007F1160"/>
    <w:rsid w:val="007F1F3B"/>
    <w:rsid w:val="007F21B0"/>
    <w:rsid w:val="007F2C3A"/>
    <w:rsid w:val="007F2DE9"/>
    <w:rsid w:val="007F2EAF"/>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5CD5"/>
    <w:rsid w:val="007F6607"/>
    <w:rsid w:val="007F6E16"/>
    <w:rsid w:val="007F6F5A"/>
    <w:rsid w:val="007F7865"/>
    <w:rsid w:val="007F7BB4"/>
    <w:rsid w:val="007F7FB3"/>
    <w:rsid w:val="0080026A"/>
    <w:rsid w:val="00800340"/>
    <w:rsid w:val="00800821"/>
    <w:rsid w:val="00800953"/>
    <w:rsid w:val="00801255"/>
    <w:rsid w:val="008013A8"/>
    <w:rsid w:val="0080175F"/>
    <w:rsid w:val="0080197B"/>
    <w:rsid w:val="00801AE1"/>
    <w:rsid w:val="00801C1F"/>
    <w:rsid w:val="008021D3"/>
    <w:rsid w:val="00802849"/>
    <w:rsid w:val="00802971"/>
    <w:rsid w:val="008038E3"/>
    <w:rsid w:val="008038F6"/>
    <w:rsid w:val="00803939"/>
    <w:rsid w:val="00804558"/>
    <w:rsid w:val="008047AE"/>
    <w:rsid w:val="00804A0C"/>
    <w:rsid w:val="00804B21"/>
    <w:rsid w:val="00805483"/>
    <w:rsid w:val="0080585D"/>
    <w:rsid w:val="00806273"/>
    <w:rsid w:val="008064AA"/>
    <w:rsid w:val="0080661F"/>
    <w:rsid w:val="008067A0"/>
    <w:rsid w:val="00806EFD"/>
    <w:rsid w:val="00807074"/>
    <w:rsid w:val="008073AA"/>
    <w:rsid w:val="00807E43"/>
    <w:rsid w:val="00807E97"/>
    <w:rsid w:val="00807F69"/>
    <w:rsid w:val="00810368"/>
    <w:rsid w:val="008108B5"/>
    <w:rsid w:val="00810BE7"/>
    <w:rsid w:val="008111E3"/>
    <w:rsid w:val="00811336"/>
    <w:rsid w:val="0081165D"/>
    <w:rsid w:val="00811A5A"/>
    <w:rsid w:val="00811B28"/>
    <w:rsid w:val="00811E2C"/>
    <w:rsid w:val="00811E33"/>
    <w:rsid w:val="00812156"/>
    <w:rsid w:val="00812862"/>
    <w:rsid w:val="00812A7A"/>
    <w:rsid w:val="0081362B"/>
    <w:rsid w:val="00813669"/>
    <w:rsid w:val="008136E0"/>
    <w:rsid w:val="00813A49"/>
    <w:rsid w:val="00813B10"/>
    <w:rsid w:val="00814257"/>
    <w:rsid w:val="0081450B"/>
    <w:rsid w:val="0081467F"/>
    <w:rsid w:val="00814EF5"/>
    <w:rsid w:val="00815339"/>
    <w:rsid w:val="0081591F"/>
    <w:rsid w:val="00815A99"/>
    <w:rsid w:val="00815E5B"/>
    <w:rsid w:val="008160D1"/>
    <w:rsid w:val="008162B3"/>
    <w:rsid w:val="0081640D"/>
    <w:rsid w:val="008165F6"/>
    <w:rsid w:val="0081679A"/>
    <w:rsid w:val="0081687A"/>
    <w:rsid w:val="008169A1"/>
    <w:rsid w:val="008172AC"/>
    <w:rsid w:val="00817967"/>
    <w:rsid w:val="00820160"/>
    <w:rsid w:val="0082022B"/>
    <w:rsid w:val="00820E0E"/>
    <w:rsid w:val="00821237"/>
    <w:rsid w:val="008216DA"/>
    <w:rsid w:val="008217C3"/>
    <w:rsid w:val="00821868"/>
    <w:rsid w:val="008219B8"/>
    <w:rsid w:val="00821C0D"/>
    <w:rsid w:val="00821ECA"/>
    <w:rsid w:val="00822414"/>
    <w:rsid w:val="00822CB9"/>
    <w:rsid w:val="00822E2C"/>
    <w:rsid w:val="00822F14"/>
    <w:rsid w:val="00823116"/>
    <w:rsid w:val="00823247"/>
    <w:rsid w:val="0082350E"/>
    <w:rsid w:val="00823658"/>
    <w:rsid w:val="008239BF"/>
    <w:rsid w:val="00823B36"/>
    <w:rsid w:val="0082401B"/>
    <w:rsid w:val="0082488C"/>
    <w:rsid w:val="00824CE1"/>
    <w:rsid w:val="008251E7"/>
    <w:rsid w:val="00825417"/>
    <w:rsid w:val="008262BC"/>
    <w:rsid w:val="008262DB"/>
    <w:rsid w:val="008266A2"/>
    <w:rsid w:val="008267AE"/>
    <w:rsid w:val="008267E2"/>
    <w:rsid w:val="00827F44"/>
    <w:rsid w:val="008305E4"/>
    <w:rsid w:val="00830B33"/>
    <w:rsid w:val="0083118A"/>
    <w:rsid w:val="00831784"/>
    <w:rsid w:val="00832727"/>
    <w:rsid w:val="00833643"/>
    <w:rsid w:val="008337C1"/>
    <w:rsid w:val="00833FE9"/>
    <w:rsid w:val="00834E39"/>
    <w:rsid w:val="00834F23"/>
    <w:rsid w:val="008353B6"/>
    <w:rsid w:val="0083559B"/>
    <w:rsid w:val="00836A67"/>
    <w:rsid w:val="00836CEB"/>
    <w:rsid w:val="008370C7"/>
    <w:rsid w:val="0083797B"/>
    <w:rsid w:val="00840C4A"/>
    <w:rsid w:val="00840EAF"/>
    <w:rsid w:val="008416BF"/>
    <w:rsid w:val="008416FD"/>
    <w:rsid w:val="0084188F"/>
    <w:rsid w:val="008423D2"/>
    <w:rsid w:val="00842408"/>
    <w:rsid w:val="00842659"/>
    <w:rsid w:val="0084293A"/>
    <w:rsid w:val="00842D4D"/>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47F8A"/>
    <w:rsid w:val="0085044B"/>
    <w:rsid w:val="008506DC"/>
    <w:rsid w:val="008509F1"/>
    <w:rsid w:val="00850EE1"/>
    <w:rsid w:val="0085108A"/>
    <w:rsid w:val="008515AC"/>
    <w:rsid w:val="0085165B"/>
    <w:rsid w:val="0085179C"/>
    <w:rsid w:val="008518FA"/>
    <w:rsid w:val="00851903"/>
    <w:rsid w:val="008519A1"/>
    <w:rsid w:val="00851B3F"/>
    <w:rsid w:val="00851DA5"/>
    <w:rsid w:val="00851DCB"/>
    <w:rsid w:val="00851E0C"/>
    <w:rsid w:val="00851F5F"/>
    <w:rsid w:val="00852142"/>
    <w:rsid w:val="008528CF"/>
    <w:rsid w:val="0085311F"/>
    <w:rsid w:val="00853334"/>
    <w:rsid w:val="00853510"/>
    <w:rsid w:val="00853A06"/>
    <w:rsid w:val="00853B22"/>
    <w:rsid w:val="00853DB7"/>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797"/>
    <w:rsid w:val="008568BB"/>
    <w:rsid w:val="00856E96"/>
    <w:rsid w:val="00857822"/>
    <w:rsid w:val="00857C93"/>
    <w:rsid w:val="00860574"/>
    <w:rsid w:val="00860D51"/>
    <w:rsid w:val="008611C1"/>
    <w:rsid w:val="00861233"/>
    <w:rsid w:val="0086151A"/>
    <w:rsid w:val="0086173C"/>
    <w:rsid w:val="008618D2"/>
    <w:rsid w:val="0086196F"/>
    <w:rsid w:val="00861D57"/>
    <w:rsid w:val="00861DA4"/>
    <w:rsid w:val="008622B0"/>
    <w:rsid w:val="00862330"/>
    <w:rsid w:val="0086261E"/>
    <w:rsid w:val="0086264B"/>
    <w:rsid w:val="008626E9"/>
    <w:rsid w:val="008626EB"/>
    <w:rsid w:val="008627BF"/>
    <w:rsid w:val="00862EFD"/>
    <w:rsid w:val="00862F95"/>
    <w:rsid w:val="008638FB"/>
    <w:rsid w:val="00863938"/>
    <w:rsid w:val="0086444C"/>
    <w:rsid w:val="008644B1"/>
    <w:rsid w:val="00864768"/>
    <w:rsid w:val="008651B3"/>
    <w:rsid w:val="008653FC"/>
    <w:rsid w:val="008654B5"/>
    <w:rsid w:val="008658AB"/>
    <w:rsid w:val="00865B18"/>
    <w:rsid w:val="00865EAE"/>
    <w:rsid w:val="00866706"/>
    <w:rsid w:val="0086672E"/>
    <w:rsid w:val="00866CF2"/>
    <w:rsid w:val="00866FA9"/>
    <w:rsid w:val="008675EC"/>
    <w:rsid w:val="008679CE"/>
    <w:rsid w:val="00867DA7"/>
    <w:rsid w:val="0087018F"/>
    <w:rsid w:val="008705A8"/>
    <w:rsid w:val="00870868"/>
    <w:rsid w:val="0087172E"/>
    <w:rsid w:val="008718FC"/>
    <w:rsid w:val="00871CC2"/>
    <w:rsid w:val="00871F4F"/>
    <w:rsid w:val="0087200D"/>
    <w:rsid w:val="00872131"/>
    <w:rsid w:val="008723B8"/>
    <w:rsid w:val="008725F5"/>
    <w:rsid w:val="00872D35"/>
    <w:rsid w:val="00873147"/>
    <w:rsid w:val="008735FB"/>
    <w:rsid w:val="00873664"/>
    <w:rsid w:val="008736D2"/>
    <w:rsid w:val="00873C1E"/>
    <w:rsid w:val="00873CB9"/>
    <w:rsid w:val="00873CD6"/>
    <w:rsid w:val="00873D9F"/>
    <w:rsid w:val="00873DE6"/>
    <w:rsid w:val="00873FBF"/>
    <w:rsid w:val="00874178"/>
    <w:rsid w:val="00874272"/>
    <w:rsid w:val="008743DF"/>
    <w:rsid w:val="0087440E"/>
    <w:rsid w:val="008744E3"/>
    <w:rsid w:val="00874521"/>
    <w:rsid w:val="00874C1F"/>
    <w:rsid w:val="00874C66"/>
    <w:rsid w:val="00874F67"/>
    <w:rsid w:val="00875356"/>
    <w:rsid w:val="00875BCC"/>
    <w:rsid w:val="00875F4F"/>
    <w:rsid w:val="008760D6"/>
    <w:rsid w:val="008762D8"/>
    <w:rsid w:val="008772D9"/>
    <w:rsid w:val="00877973"/>
    <w:rsid w:val="00877B29"/>
    <w:rsid w:val="0088031F"/>
    <w:rsid w:val="008808B9"/>
    <w:rsid w:val="00880B30"/>
    <w:rsid w:val="00880F1D"/>
    <w:rsid w:val="0088172A"/>
    <w:rsid w:val="00881F90"/>
    <w:rsid w:val="00882798"/>
    <w:rsid w:val="00882988"/>
    <w:rsid w:val="00882B00"/>
    <w:rsid w:val="0088397C"/>
    <w:rsid w:val="00884EB1"/>
    <w:rsid w:val="008851C4"/>
    <w:rsid w:val="00885209"/>
    <w:rsid w:val="00885696"/>
    <w:rsid w:val="0088570A"/>
    <w:rsid w:val="00885AE4"/>
    <w:rsid w:val="00885E9D"/>
    <w:rsid w:val="0088636E"/>
    <w:rsid w:val="008864A7"/>
    <w:rsid w:val="0088666A"/>
    <w:rsid w:val="0088678F"/>
    <w:rsid w:val="0088688A"/>
    <w:rsid w:val="00886A9E"/>
    <w:rsid w:val="00886DC9"/>
    <w:rsid w:val="00886EC7"/>
    <w:rsid w:val="008870E1"/>
    <w:rsid w:val="00887184"/>
    <w:rsid w:val="008879EA"/>
    <w:rsid w:val="00887ACB"/>
    <w:rsid w:val="00890139"/>
    <w:rsid w:val="008915A3"/>
    <w:rsid w:val="0089160E"/>
    <w:rsid w:val="00891D7D"/>
    <w:rsid w:val="008921B1"/>
    <w:rsid w:val="00892687"/>
    <w:rsid w:val="00893386"/>
    <w:rsid w:val="0089363C"/>
    <w:rsid w:val="00893657"/>
    <w:rsid w:val="00893671"/>
    <w:rsid w:val="00893E5E"/>
    <w:rsid w:val="008941FB"/>
    <w:rsid w:val="00894565"/>
    <w:rsid w:val="008948B9"/>
    <w:rsid w:val="008950D6"/>
    <w:rsid w:val="00895B46"/>
    <w:rsid w:val="00895E7B"/>
    <w:rsid w:val="00896474"/>
    <w:rsid w:val="00896C1A"/>
    <w:rsid w:val="00896DBC"/>
    <w:rsid w:val="00897B59"/>
    <w:rsid w:val="00897C6C"/>
    <w:rsid w:val="00897D1A"/>
    <w:rsid w:val="00897F81"/>
    <w:rsid w:val="008A06E3"/>
    <w:rsid w:val="008A0905"/>
    <w:rsid w:val="008A0B02"/>
    <w:rsid w:val="008A0E0D"/>
    <w:rsid w:val="008A1275"/>
    <w:rsid w:val="008A155C"/>
    <w:rsid w:val="008A180E"/>
    <w:rsid w:val="008A197C"/>
    <w:rsid w:val="008A1CF5"/>
    <w:rsid w:val="008A2545"/>
    <w:rsid w:val="008A2636"/>
    <w:rsid w:val="008A279E"/>
    <w:rsid w:val="008A35DB"/>
    <w:rsid w:val="008A3AF9"/>
    <w:rsid w:val="008A3FBE"/>
    <w:rsid w:val="008A4013"/>
    <w:rsid w:val="008A4B7C"/>
    <w:rsid w:val="008A4C9C"/>
    <w:rsid w:val="008A540F"/>
    <w:rsid w:val="008A54E7"/>
    <w:rsid w:val="008A6041"/>
    <w:rsid w:val="008A60F8"/>
    <w:rsid w:val="008A62A8"/>
    <w:rsid w:val="008A69FE"/>
    <w:rsid w:val="008A6B06"/>
    <w:rsid w:val="008A6CED"/>
    <w:rsid w:val="008A6EC7"/>
    <w:rsid w:val="008A6F36"/>
    <w:rsid w:val="008A7286"/>
    <w:rsid w:val="008A7B50"/>
    <w:rsid w:val="008B0641"/>
    <w:rsid w:val="008B0EB7"/>
    <w:rsid w:val="008B138E"/>
    <w:rsid w:val="008B19AB"/>
    <w:rsid w:val="008B1C78"/>
    <w:rsid w:val="008B1F87"/>
    <w:rsid w:val="008B28BD"/>
    <w:rsid w:val="008B2AC0"/>
    <w:rsid w:val="008B2E96"/>
    <w:rsid w:val="008B2F53"/>
    <w:rsid w:val="008B3006"/>
    <w:rsid w:val="008B3139"/>
    <w:rsid w:val="008B3680"/>
    <w:rsid w:val="008B3B50"/>
    <w:rsid w:val="008B3D47"/>
    <w:rsid w:val="008B44CB"/>
    <w:rsid w:val="008B46D2"/>
    <w:rsid w:val="008B5253"/>
    <w:rsid w:val="008B53D8"/>
    <w:rsid w:val="008B55F6"/>
    <w:rsid w:val="008B5DD4"/>
    <w:rsid w:val="008B63BE"/>
    <w:rsid w:val="008B640E"/>
    <w:rsid w:val="008B6505"/>
    <w:rsid w:val="008B6528"/>
    <w:rsid w:val="008B688D"/>
    <w:rsid w:val="008B6E18"/>
    <w:rsid w:val="008B70EE"/>
    <w:rsid w:val="008B715C"/>
    <w:rsid w:val="008B74BA"/>
    <w:rsid w:val="008B75B8"/>
    <w:rsid w:val="008B77D2"/>
    <w:rsid w:val="008C02F1"/>
    <w:rsid w:val="008C0782"/>
    <w:rsid w:val="008C0EAD"/>
    <w:rsid w:val="008C1442"/>
    <w:rsid w:val="008C1693"/>
    <w:rsid w:val="008C19D9"/>
    <w:rsid w:val="008C1A5E"/>
    <w:rsid w:val="008C1A81"/>
    <w:rsid w:val="008C2855"/>
    <w:rsid w:val="008C288D"/>
    <w:rsid w:val="008C29FE"/>
    <w:rsid w:val="008C32CA"/>
    <w:rsid w:val="008C361C"/>
    <w:rsid w:val="008C3967"/>
    <w:rsid w:val="008C431E"/>
    <w:rsid w:val="008C4759"/>
    <w:rsid w:val="008C4C5B"/>
    <w:rsid w:val="008C54BD"/>
    <w:rsid w:val="008C54C4"/>
    <w:rsid w:val="008C5798"/>
    <w:rsid w:val="008C57E1"/>
    <w:rsid w:val="008C5948"/>
    <w:rsid w:val="008C6056"/>
    <w:rsid w:val="008C65B5"/>
    <w:rsid w:val="008C6628"/>
    <w:rsid w:val="008C69C9"/>
    <w:rsid w:val="008C6E38"/>
    <w:rsid w:val="008C6F75"/>
    <w:rsid w:val="008C7C18"/>
    <w:rsid w:val="008C7CC4"/>
    <w:rsid w:val="008C7D56"/>
    <w:rsid w:val="008D047D"/>
    <w:rsid w:val="008D0B4C"/>
    <w:rsid w:val="008D0ED5"/>
    <w:rsid w:val="008D14C4"/>
    <w:rsid w:val="008D1653"/>
    <w:rsid w:val="008D1964"/>
    <w:rsid w:val="008D19A4"/>
    <w:rsid w:val="008D2169"/>
    <w:rsid w:val="008D221A"/>
    <w:rsid w:val="008D24D6"/>
    <w:rsid w:val="008D24E1"/>
    <w:rsid w:val="008D3E6A"/>
    <w:rsid w:val="008D53E2"/>
    <w:rsid w:val="008D5548"/>
    <w:rsid w:val="008D5908"/>
    <w:rsid w:val="008D5AF1"/>
    <w:rsid w:val="008D61E4"/>
    <w:rsid w:val="008D6A6E"/>
    <w:rsid w:val="008D781F"/>
    <w:rsid w:val="008D7BDA"/>
    <w:rsid w:val="008D7DBE"/>
    <w:rsid w:val="008E00F3"/>
    <w:rsid w:val="008E02B7"/>
    <w:rsid w:val="008E0593"/>
    <w:rsid w:val="008E1354"/>
    <w:rsid w:val="008E15B0"/>
    <w:rsid w:val="008E20BE"/>
    <w:rsid w:val="008E22F8"/>
    <w:rsid w:val="008E2317"/>
    <w:rsid w:val="008E241B"/>
    <w:rsid w:val="008E269F"/>
    <w:rsid w:val="008E2964"/>
    <w:rsid w:val="008E2DBD"/>
    <w:rsid w:val="008E3096"/>
    <w:rsid w:val="008E330C"/>
    <w:rsid w:val="008E332F"/>
    <w:rsid w:val="008E3EEA"/>
    <w:rsid w:val="008E4114"/>
    <w:rsid w:val="008E42C2"/>
    <w:rsid w:val="008E45EA"/>
    <w:rsid w:val="008E4A1A"/>
    <w:rsid w:val="008E4EF4"/>
    <w:rsid w:val="008E560B"/>
    <w:rsid w:val="008E5E01"/>
    <w:rsid w:val="008E69A3"/>
    <w:rsid w:val="008E7997"/>
    <w:rsid w:val="008E7CC9"/>
    <w:rsid w:val="008F02A1"/>
    <w:rsid w:val="008F0E69"/>
    <w:rsid w:val="008F12FF"/>
    <w:rsid w:val="008F1E07"/>
    <w:rsid w:val="008F2504"/>
    <w:rsid w:val="008F3D3E"/>
    <w:rsid w:val="008F3F31"/>
    <w:rsid w:val="008F4655"/>
    <w:rsid w:val="008F4779"/>
    <w:rsid w:val="008F542B"/>
    <w:rsid w:val="008F5670"/>
    <w:rsid w:val="008F599F"/>
    <w:rsid w:val="008F63DF"/>
    <w:rsid w:val="008F647D"/>
    <w:rsid w:val="008F64E5"/>
    <w:rsid w:val="008F66F2"/>
    <w:rsid w:val="008F677E"/>
    <w:rsid w:val="008F6B6E"/>
    <w:rsid w:val="008F7929"/>
    <w:rsid w:val="008F7C28"/>
    <w:rsid w:val="00900072"/>
    <w:rsid w:val="0090007F"/>
    <w:rsid w:val="0090034D"/>
    <w:rsid w:val="00900B43"/>
    <w:rsid w:val="00900EC7"/>
    <w:rsid w:val="00900FFC"/>
    <w:rsid w:val="009011F9"/>
    <w:rsid w:val="00901244"/>
    <w:rsid w:val="00901570"/>
    <w:rsid w:val="0090183D"/>
    <w:rsid w:val="00901979"/>
    <w:rsid w:val="00901F0B"/>
    <w:rsid w:val="00902357"/>
    <w:rsid w:val="0090242A"/>
    <w:rsid w:val="009029A5"/>
    <w:rsid w:val="00902C85"/>
    <w:rsid w:val="009030F7"/>
    <w:rsid w:val="009034D9"/>
    <w:rsid w:val="00903FEA"/>
    <w:rsid w:val="009046A4"/>
    <w:rsid w:val="009046C9"/>
    <w:rsid w:val="009046F1"/>
    <w:rsid w:val="009046FB"/>
    <w:rsid w:val="00904883"/>
    <w:rsid w:val="00904B0A"/>
    <w:rsid w:val="00904F84"/>
    <w:rsid w:val="009055DD"/>
    <w:rsid w:val="0090616A"/>
    <w:rsid w:val="00906527"/>
    <w:rsid w:val="0090675A"/>
    <w:rsid w:val="00906BD9"/>
    <w:rsid w:val="00906EA0"/>
    <w:rsid w:val="009071AF"/>
    <w:rsid w:val="00907F4C"/>
    <w:rsid w:val="0091006A"/>
    <w:rsid w:val="00910B57"/>
    <w:rsid w:val="00911058"/>
    <w:rsid w:val="0091124A"/>
    <w:rsid w:val="0091148A"/>
    <w:rsid w:val="00911985"/>
    <w:rsid w:val="00912347"/>
    <w:rsid w:val="0091268D"/>
    <w:rsid w:val="009129C1"/>
    <w:rsid w:val="00913336"/>
    <w:rsid w:val="009134D1"/>
    <w:rsid w:val="00913B74"/>
    <w:rsid w:val="00913EBB"/>
    <w:rsid w:val="009141BB"/>
    <w:rsid w:val="00914B55"/>
    <w:rsid w:val="00914CB3"/>
    <w:rsid w:val="00914DC4"/>
    <w:rsid w:val="00915329"/>
    <w:rsid w:val="0091588C"/>
    <w:rsid w:val="00915DB5"/>
    <w:rsid w:val="00915DF4"/>
    <w:rsid w:val="00915E34"/>
    <w:rsid w:val="00916068"/>
    <w:rsid w:val="00916194"/>
    <w:rsid w:val="00916A97"/>
    <w:rsid w:val="00916BF5"/>
    <w:rsid w:val="00916CCB"/>
    <w:rsid w:val="00916FF2"/>
    <w:rsid w:val="00917175"/>
    <w:rsid w:val="00917703"/>
    <w:rsid w:val="00917DB8"/>
    <w:rsid w:val="00920EC8"/>
    <w:rsid w:val="00921102"/>
    <w:rsid w:val="00921305"/>
    <w:rsid w:val="00921783"/>
    <w:rsid w:val="009217D9"/>
    <w:rsid w:val="00921AC8"/>
    <w:rsid w:val="00921AD2"/>
    <w:rsid w:val="0092206F"/>
    <w:rsid w:val="00922482"/>
    <w:rsid w:val="0092297A"/>
    <w:rsid w:val="00922A2B"/>
    <w:rsid w:val="0092345D"/>
    <w:rsid w:val="00923853"/>
    <w:rsid w:val="0092489D"/>
    <w:rsid w:val="00924A6C"/>
    <w:rsid w:val="00924D79"/>
    <w:rsid w:val="00924ED4"/>
    <w:rsid w:val="00924F63"/>
    <w:rsid w:val="0092524C"/>
    <w:rsid w:val="0092560C"/>
    <w:rsid w:val="0092655F"/>
    <w:rsid w:val="009267DA"/>
    <w:rsid w:val="00926906"/>
    <w:rsid w:val="009271AB"/>
    <w:rsid w:val="00927281"/>
    <w:rsid w:val="009273B8"/>
    <w:rsid w:val="00927524"/>
    <w:rsid w:val="00927A20"/>
    <w:rsid w:val="00927AE3"/>
    <w:rsid w:val="00927B80"/>
    <w:rsid w:val="00930298"/>
    <w:rsid w:val="009302A6"/>
    <w:rsid w:val="009309E9"/>
    <w:rsid w:val="00930AF7"/>
    <w:rsid w:val="00931325"/>
    <w:rsid w:val="009319DC"/>
    <w:rsid w:val="00931AAD"/>
    <w:rsid w:val="00931E6D"/>
    <w:rsid w:val="00932605"/>
    <w:rsid w:val="00932D04"/>
    <w:rsid w:val="00932E9E"/>
    <w:rsid w:val="00933B8A"/>
    <w:rsid w:val="00933CAC"/>
    <w:rsid w:val="00934141"/>
    <w:rsid w:val="009341AA"/>
    <w:rsid w:val="0093429A"/>
    <w:rsid w:val="009352D3"/>
    <w:rsid w:val="009353C2"/>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511"/>
    <w:rsid w:val="0094368C"/>
    <w:rsid w:val="00943893"/>
    <w:rsid w:val="009440E8"/>
    <w:rsid w:val="00944249"/>
    <w:rsid w:val="00944312"/>
    <w:rsid w:val="009443DC"/>
    <w:rsid w:val="0094474A"/>
    <w:rsid w:val="009447AA"/>
    <w:rsid w:val="00944AE2"/>
    <w:rsid w:val="0094526B"/>
    <w:rsid w:val="009456EB"/>
    <w:rsid w:val="00945B92"/>
    <w:rsid w:val="00945E7E"/>
    <w:rsid w:val="00945E8F"/>
    <w:rsid w:val="009463FD"/>
    <w:rsid w:val="009467FD"/>
    <w:rsid w:val="00946858"/>
    <w:rsid w:val="00946C5D"/>
    <w:rsid w:val="00946D2E"/>
    <w:rsid w:val="00946E64"/>
    <w:rsid w:val="009472F6"/>
    <w:rsid w:val="00947804"/>
    <w:rsid w:val="0094783F"/>
    <w:rsid w:val="00950327"/>
    <w:rsid w:val="00950606"/>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1CB"/>
    <w:rsid w:val="0095752A"/>
    <w:rsid w:val="009577C1"/>
    <w:rsid w:val="00960135"/>
    <w:rsid w:val="009602BA"/>
    <w:rsid w:val="009609CA"/>
    <w:rsid w:val="009615D7"/>
    <w:rsid w:val="00961B0E"/>
    <w:rsid w:val="00961ED8"/>
    <w:rsid w:val="009620DF"/>
    <w:rsid w:val="0096254A"/>
    <w:rsid w:val="00962D17"/>
    <w:rsid w:val="00963D17"/>
    <w:rsid w:val="00963D45"/>
    <w:rsid w:val="009640B5"/>
    <w:rsid w:val="00964459"/>
    <w:rsid w:val="009645EC"/>
    <w:rsid w:val="009657D5"/>
    <w:rsid w:val="00965EA9"/>
    <w:rsid w:val="00965F9F"/>
    <w:rsid w:val="00966141"/>
    <w:rsid w:val="009662EC"/>
    <w:rsid w:val="00966611"/>
    <w:rsid w:val="009669CC"/>
    <w:rsid w:val="00967655"/>
    <w:rsid w:val="00967C10"/>
    <w:rsid w:val="00970261"/>
    <w:rsid w:val="00970F12"/>
    <w:rsid w:val="009710BF"/>
    <w:rsid w:val="009711DF"/>
    <w:rsid w:val="00971874"/>
    <w:rsid w:val="00971D9E"/>
    <w:rsid w:val="00971F83"/>
    <w:rsid w:val="00972061"/>
    <w:rsid w:val="0097245C"/>
    <w:rsid w:val="009725FE"/>
    <w:rsid w:val="0097282B"/>
    <w:rsid w:val="00972DAC"/>
    <w:rsid w:val="0097361C"/>
    <w:rsid w:val="00973A35"/>
    <w:rsid w:val="009741F3"/>
    <w:rsid w:val="00974630"/>
    <w:rsid w:val="00974A1E"/>
    <w:rsid w:val="00975110"/>
    <w:rsid w:val="0097559A"/>
    <w:rsid w:val="00975D48"/>
    <w:rsid w:val="00975D68"/>
    <w:rsid w:val="00975FD3"/>
    <w:rsid w:val="00976546"/>
    <w:rsid w:val="00976FCF"/>
    <w:rsid w:val="0097768A"/>
    <w:rsid w:val="00980BAC"/>
    <w:rsid w:val="00980DF0"/>
    <w:rsid w:val="00980F3F"/>
    <w:rsid w:val="00981424"/>
    <w:rsid w:val="00981D1C"/>
    <w:rsid w:val="00982214"/>
    <w:rsid w:val="009823D4"/>
    <w:rsid w:val="00982474"/>
    <w:rsid w:val="00983285"/>
    <w:rsid w:val="0098334A"/>
    <w:rsid w:val="0098385E"/>
    <w:rsid w:val="00984672"/>
    <w:rsid w:val="00984F97"/>
    <w:rsid w:val="009853B8"/>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09DA"/>
    <w:rsid w:val="00992097"/>
    <w:rsid w:val="00992869"/>
    <w:rsid w:val="00992914"/>
    <w:rsid w:val="00992C47"/>
    <w:rsid w:val="00992E51"/>
    <w:rsid w:val="00992F88"/>
    <w:rsid w:val="00993776"/>
    <w:rsid w:val="00993832"/>
    <w:rsid w:val="00993F15"/>
    <w:rsid w:val="009944B9"/>
    <w:rsid w:val="009947D5"/>
    <w:rsid w:val="00994B69"/>
    <w:rsid w:val="00994DE5"/>
    <w:rsid w:val="00994E90"/>
    <w:rsid w:val="0099551B"/>
    <w:rsid w:val="009955E2"/>
    <w:rsid w:val="00995629"/>
    <w:rsid w:val="009959A5"/>
    <w:rsid w:val="00995C16"/>
    <w:rsid w:val="0099625A"/>
    <w:rsid w:val="009965BC"/>
    <w:rsid w:val="0099662E"/>
    <w:rsid w:val="00996957"/>
    <w:rsid w:val="00996C51"/>
    <w:rsid w:val="00997258"/>
    <w:rsid w:val="00997AF0"/>
    <w:rsid w:val="00997C19"/>
    <w:rsid w:val="009A0415"/>
    <w:rsid w:val="009A04CD"/>
    <w:rsid w:val="009A0A3A"/>
    <w:rsid w:val="009A0B14"/>
    <w:rsid w:val="009A0DFE"/>
    <w:rsid w:val="009A177E"/>
    <w:rsid w:val="009A1AE9"/>
    <w:rsid w:val="009A22E6"/>
    <w:rsid w:val="009A2441"/>
    <w:rsid w:val="009A2486"/>
    <w:rsid w:val="009A2690"/>
    <w:rsid w:val="009A3307"/>
    <w:rsid w:val="009A33B5"/>
    <w:rsid w:val="009A3520"/>
    <w:rsid w:val="009A3547"/>
    <w:rsid w:val="009A39FF"/>
    <w:rsid w:val="009A3CB5"/>
    <w:rsid w:val="009A3EAF"/>
    <w:rsid w:val="009A3F33"/>
    <w:rsid w:val="009A5501"/>
    <w:rsid w:val="009A55E6"/>
    <w:rsid w:val="009A5928"/>
    <w:rsid w:val="009A5AE0"/>
    <w:rsid w:val="009A6621"/>
    <w:rsid w:val="009A6AEA"/>
    <w:rsid w:val="009A6CC5"/>
    <w:rsid w:val="009A6F64"/>
    <w:rsid w:val="009A7196"/>
    <w:rsid w:val="009A73A3"/>
    <w:rsid w:val="009B1F3A"/>
    <w:rsid w:val="009B21F9"/>
    <w:rsid w:val="009B26B1"/>
    <w:rsid w:val="009B2766"/>
    <w:rsid w:val="009B2B6B"/>
    <w:rsid w:val="009B3248"/>
    <w:rsid w:val="009B32F0"/>
    <w:rsid w:val="009B368F"/>
    <w:rsid w:val="009B3EB4"/>
    <w:rsid w:val="009B3F21"/>
    <w:rsid w:val="009B42BE"/>
    <w:rsid w:val="009B495D"/>
    <w:rsid w:val="009B5973"/>
    <w:rsid w:val="009B5B48"/>
    <w:rsid w:val="009B62E6"/>
    <w:rsid w:val="009B66EB"/>
    <w:rsid w:val="009B67C4"/>
    <w:rsid w:val="009B68B1"/>
    <w:rsid w:val="009B6A3F"/>
    <w:rsid w:val="009B6C5A"/>
    <w:rsid w:val="009B71E1"/>
    <w:rsid w:val="009C03FE"/>
    <w:rsid w:val="009C0448"/>
    <w:rsid w:val="009C0593"/>
    <w:rsid w:val="009C0615"/>
    <w:rsid w:val="009C0CF8"/>
    <w:rsid w:val="009C0CFB"/>
    <w:rsid w:val="009C0D49"/>
    <w:rsid w:val="009C0E2D"/>
    <w:rsid w:val="009C1033"/>
    <w:rsid w:val="009C125A"/>
    <w:rsid w:val="009C16FA"/>
    <w:rsid w:val="009C1EB2"/>
    <w:rsid w:val="009C2675"/>
    <w:rsid w:val="009C2839"/>
    <w:rsid w:val="009C2DC4"/>
    <w:rsid w:val="009C3007"/>
    <w:rsid w:val="009C3042"/>
    <w:rsid w:val="009C386A"/>
    <w:rsid w:val="009C3B59"/>
    <w:rsid w:val="009C3BEF"/>
    <w:rsid w:val="009C3E9C"/>
    <w:rsid w:val="009C4598"/>
    <w:rsid w:val="009C4A32"/>
    <w:rsid w:val="009C4B90"/>
    <w:rsid w:val="009C589E"/>
    <w:rsid w:val="009C63AB"/>
    <w:rsid w:val="009C69D0"/>
    <w:rsid w:val="009C69F4"/>
    <w:rsid w:val="009C6B18"/>
    <w:rsid w:val="009C7163"/>
    <w:rsid w:val="009C77A3"/>
    <w:rsid w:val="009C7F92"/>
    <w:rsid w:val="009D0525"/>
    <w:rsid w:val="009D1082"/>
    <w:rsid w:val="009D16A5"/>
    <w:rsid w:val="009D20AC"/>
    <w:rsid w:val="009D20C9"/>
    <w:rsid w:val="009D21C8"/>
    <w:rsid w:val="009D26D8"/>
    <w:rsid w:val="009D305B"/>
    <w:rsid w:val="009D30F9"/>
    <w:rsid w:val="009D3192"/>
    <w:rsid w:val="009D31C0"/>
    <w:rsid w:val="009D322C"/>
    <w:rsid w:val="009D334F"/>
    <w:rsid w:val="009D35DA"/>
    <w:rsid w:val="009D372A"/>
    <w:rsid w:val="009D3A26"/>
    <w:rsid w:val="009D3BAC"/>
    <w:rsid w:val="009D3EDD"/>
    <w:rsid w:val="009D4498"/>
    <w:rsid w:val="009D48BA"/>
    <w:rsid w:val="009D4B7E"/>
    <w:rsid w:val="009D4D48"/>
    <w:rsid w:val="009D4DC6"/>
    <w:rsid w:val="009D5106"/>
    <w:rsid w:val="009D5423"/>
    <w:rsid w:val="009D5D71"/>
    <w:rsid w:val="009D66B9"/>
    <w:rsid w:val="009D6B77"/>
    <w:rsid w:val="009D6CE1"/>
    <w:rsid w:val="009E051C"/>
    <w:rsid w:val="009E0F8C"/>
    <w:rsid w:val="009E14B2"/>
    <w:rsid w:val="009E155E"/>
    <w:rsid w:val="009E1C49"/>
    <w:rsid w:val="009E1D15"/>
    <w:rsid w:val="009E1D44"/>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19F"/>
    <w:rsid w:val="009F336F"/>
    <w:rsid w:val="009F3C12"/>
    <w:rsid w:val="009F3E13"/>
    <w:rsid w:val="009F40CE"/>
    <w:rsid w:val="009F4CDA"/>
    <w:rsid w:val="009F4E34"/>
    <w:rsid w:val="009F59BF"/>
    <w:rsid w:val="009F5F68"/>
    <w:rsid w:val="009F6051"/>
    <w:rsid w:val="009F776E"/>
    <w:rsid w:val="00A00BD4"/>
    <w:rsid w:val="00A00F42"/>
    <w:rsid w:val="00A01519"/>
    <w:rsid w:val="00A0195A"/>
    <w:rsid w:val="00A01AD2"/>
    <w:rsid w:val="00A023C5"/>
    <w:rsid w:val="00A02D3C"/>
    <w:rsid w:val="00A03287"/>
    <w:rsid w:val="00A032EA"/>
    <w:rsid w:val="00A0408F"/>
    <w:rsid w:val="00A0431E"/>
    <w:rsid w:val="00A04DAD"/>
    <w:rsid w:val="00A04E68"/>
    <w:rsid w:val="00A05155"/>
    <w:rsid w:val="00A05975"/>
    <w:rsid w:val="00A05D58"/>
    <w:rsid w:val="00A05EAA"/>
    <w:rsid w:val="00A0605F"/>
    <w:rsid w:val="00A0608D"/>
    <w:rsid w:val="00A060BE"/>
    <w:rsid w:val="00A0695E"/>
    <w:rsid w:val="00A07D26"/>
    <w:rsid w:val="00A1036E"/>
    <w:rsid w:val="00A104A1"/>
    <w:rsid w:val="00A10896"/>
    <w:rsid w:val="00A10D11"/>
    <w:rsid w:val="00A10D80"/>
    <w:rsid w:val="00A10FC7"/>
    <w:rsid w:val="00A1149A"/>
    <w:rsid w:val="00A11671"/>
    <w:rsid w:val="00A1187C"/>
    <w:rsid w:val="00A11D21"/>
    <w:rsid w:val="00A12CCC"/>
    <w:rsid w:val="00A12D1A"/>
    <w:rsid w:val="00A12E07"/>
    <w:rsid w:val="00A12F3D"/>
    <w:rsid w:val="00A13838"/>
    <w:rsid w:val="00A1397A"/>
    <w:rsid w:val="00A13A4E"/>
    <w:rsid w:val="00A142FE"/>
    <w:rsid w:val="00A14F6A"/>
    <w:rsid w:val="00A15479"/>
    <w:rsid w:val="00A15566"/>
    <w:rsid w:val="00A15B2D"/>
    <w:rsid w:val="00A163CD"/>
    <w:rsid w:val="00A16778"/>
    <w:rsid w:val="00A16B57"/>
    <w:rsid w:val="00A20224"/>
    <w:rsid w:val="00A207CF"/>
    <w:rsid w:val="00A20BF9"/>
    <w:rsid w:val="00A21424"/>
    <w:rsid w:val="00A21997"/>
    <w:rsid w:val="00A23A98"/>
    <w:rsid w:val="00A23F19"/>
    <w:rsid w:val="00A24200"/>
    <w:rsid w:val="00A24217"/>
    <w:rsid w:val="00A2425D"/>
    <w:rsid w:val="00A244E9"/>
    <w:rsid w:val="00A24622"/>
    <w:rsid w:val="00A246A3"/>
    <w:rsid w:val="00A253A1"/>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474"/>
    <w:rsid w:val="00A32AE0"/>
    <w:rsid w:val="00A32B77"/>
    <w:rsid w:val="00A32BB4"/>
    <w:rsid w:val="00A33BB4"/>
    <w:rsid w:val="00A33CCF"/>
    <w:rsid w:val="00A351D5"/>
    <w:rsid w:val="00A35D65"/>
    <w:rsid w:val="00A365CE"/>
    <w:rsid w:val="00A36CF6"/>
    <w:rsid w:val="00A36EC5"/>
    <w:rsid w:val="00A37EDA"/>
    <w:rsid w:val="00A4035D"/>
    <w:rsid w:val="00A403FC"/>
    <w:rsid w:val="00A413A3"/>
    <w:rsid w:val="00A41DB1"/>
    <w:rsid w:val="00A43214"/>
    <w:rsid w:val="00A43270"/>
    <w:rsid w:val="00A436CD"/>
    <w:rsid w:val="00A439BB"/>
    <w:rsid w:val="00A43FDA"/>
    <w:rsid w:val="00A44299"/>
    <w:rsid w:val="00A445B0"/>
    <w:rsid w:val="00A445C5"/>
    <w:rsid w:val="00A4539E"/>
    <w:rsid w:val="00A454C5"/>
    <w:rsid w:val="00A46080"/>
    <w:rsid w:val="00A461CB"/>
    <w:rsid w:val="00A464EC"/>
    <w:rsid w:val="00A4672D"/>
    <w:rsid w:val="00A46C6C"/>
    <w:rsid w:val="00A46EB1"/>
    <w:rsid w:val="00A47523"/>
    <w:rsid w:val="00A47A54"/>
    <w:rsid w:val="00A47C59"/>
    <w:rsid w:val="00A50197"/>
    <w:rsid w:val="00A50CB6"/>
    <w:rsid w:val="00A50FEC"/>
    <w:rsid w:val="00A51789"/>
    <w:rsid w:val="00A51D44"/>
    <w:rsid w:val="00A51FC3"/>
    <w:rsid w:val="00A5237D"/>
    <w:rsid w:val="00A52CE8"/>
    <w:rsid w:val="00A532FC"/>
    <w:rsid w:val="00A53624"/>
    <w:rsid w:val="00A54F72"/>
    <w:rsid w:val="00A554CC"/>
    <w:rsid w:val="00A5579B"/>
    <w:rsid w:val="00A559EF"/>
    <w:rsid w:val="00A56453"/>
    <w:rsid w:val="00A56560"/>
    <w:rsid w:val="00A565B6"/>
    <w:rsid w:val="00A567E2"/>
    <w:rsid w:val="00A56806"/>
    <w:rsid w:val="00A578E2"/>
    <w:rsid w:val="00A57F15"/>
    <w:rsid w:val="00A60066"/>
    <w:rsid w:val="00A60179"/>
    <w:rsid w:val="00A613B7"/>
    <w:rsid w:val="00A61782"/>
    <w:rsid w:val="00A61F1B"/>
    <w:rsid w:val="00A61FDA"/>
    <w:rsid w:val="00A63850"/>
    <w:rsid w:val="00A63B0C"/>
    <w:rsid w:val="00A64787"/>
    <w:rsid w:val="00A648E9"/>
    <w:rsid w:val="00A64ED1"/>
    <w:rsid w:val="00A65B40"/>
    <w:rsid w:val="00A65B7D"/>
    <w:rsid w:val="00A6654A"/>
    <w:rsid w:val="00A66C0D"/>
    <w:rsid w:val="00A6704E"/>
    <w:rsid w:val="00A6764D"/>
    <w:rsid w:val="00A67934"/>
    <w:rsid w:val="00A67D4A"/>
    <w:rsid w:val="00A70230"/>
    <w:rsid w:val="00A703AE"/>
    <w:rsid w:val="00A703F0"/>
    <w:rsid w:val="00A70415"/>
    <w:rsid w:val="00A709AE"/>
    <w:rsid w:val="00A70AFB"/>
    <w:rsid w:val="00A70DCB"/>
    <w:rsid w:val="00A70E5B"/>
    <w:rsid w:val="00A71AFE"/>
    <w:rsid w:val="00A71FD1"/>
    <w:rsid w:val="00A720C2"/>
    <w:rsid w:val="00A7248F"/>
    <w:rsid w:val="00A72733"/>
    <w:rsid w:val="00A72B1E"/>
    <w:rsid w:val="00A72BC8"/>
    <w:rsid w:val="00A72C04"/>
    <w:rsid w:val="00A72FE2"/>
    <w:rsid w:val="00A73341"/>
    <w:rsid w:val="00A748ED"/>
    <w:rsid w:val="00A74BF9"/>
    <w:rsid w:val="00A752D3"/>
    <w:rsid w:val="00A75386"/>
    <w:rsid w:val="00A7593A"/>
    <w:rsid w:val="00A7597F"/>
    <w:rsid w:val="00A75B02"/>
    <w:rsid w:val="00A75D3F"/>
    <w:rsid w:val="00A76023"/>
    <w:rsid w:val="00A7664B"/>
    <w:rsid w:val="00A768C8"/>
    <w:rsid w:val="00A76C1A"/>
    <w:rsid w:val="00A76C21"/>
    <w:rsid w:val="00A775C5"/>
    <w:rsid w:val="00A77727"/>
    <w:rsid w:val="00A81251"/>
    <w:rsid w:val="00A81951"/>
    <w:rsid w:val="00A8226A"/>
    <w:rsid w:val="00A82941"/>
    <w:rsid w:val="00A834D6"/>
    <w:rsid w:val="00A83A31"/>
    <w:rsid w:val="00A83A61"/>
    <w:rsid w:val="00A83DBC"/>
    <w:rsid w:val="00A841D6"/>
    <w:rsid w:val="00A84746"/>
    <w:rsid w:val="00A847AE"/>
    <w:rsid w:val="00A84B98"/>
    <w:rsid w:val="00A84D2C"/>
    <w:rsid w:val="00A84D86"/>
    <w:rsid w:val="00A84E37"/>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756"/>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4F33"/>
    <w:rsid w:val="00A952EF"/>
    <w:rsid w:val="00A96484"/>
    <w:rsid w:val="00A96790"/>
    <w:rsid w:val="00A96852"/>
    <w:rsid w:val="00A96C21"/>
    <w:rsid w:val="00A96EAF"/>
    <w:rsid w:val="00A9791D"/>
    <w:rsid w:val="00A97D4A"/>
    <w:rsid w:val="00A97DB8"/>
    <w:rsid w:val="00AA0209"/>
    <w:rsid w:val="00AA03A6"/>
    <w:rsid w:val="00AA050F"/>
    <w:rsid w:val="00AA1128"/>
    <w:rsid w:val="00AA1337"/>
    <w:rsid w:val="00AA1528"/>
    <w:rsid w:val="00AA1A7C"/>
    <w:rsid w:val="00AA1ADA"/>
    <w:rsid w:val="00AA20B3"/>
    <w:rsid w:val="00AA2A7D"/>
    <w:rsid w:val="00AA2A95"/>
    <w:rsid w:val="00AA2ECC"/>
    <w:rsid w:val="00AA3A3E"/>
    <w:rsid w:val="00AA3B94"/>
    <w:rsid w:val="00AA3C94"/>
    <w:rsid w:val="00AA41D4"/>
    <w:rsid w:val="00AA4203"/>
    <w:rsid w:val="00AA42BF"/>
    <w:rsid w:val="00AA4303"/>
    <w:rsid w:val="00AA4775"/>
    <w:rsid w:val="00AA47D3"/>
    <w:rsid w:val="00AA488F"/>
    <w:rsid w:val="00AA4A80"/>
    <w:rsid w:val="00AA5515"/>
    <w:rsid w:val="00AA567F"/>
    <w:rsid w:val="00AA583C"/>
    <w:rsid w:val="00AA5CFE"/>
    <w:rsid w:val="00AA65CF"/>
    <w:rsid w:val="00AA6A88"/>
    <w:rsid w:val="00AA7658"/>
    <w:rsid w:val="00AA768F"/>
    <w:rsid w:val="00AB02DD"/>
    <w:rsid w:val="00AB045C"/>
    <w:rsid w:val="00AB05BB"/>
    <w:rsid w:val="00AB090C"/>
    <w:rsid w:val="00AB0F9A"/>
    <w:rsid w:val="00AB1160"/>
    <w:rsid w:val="00AB1411"/>
    <w:rsid w:val="00AB142E"/>
    <w:rsid w:val="00AB17B6"/>
    <w:rsid w:val="00AB1C10"/>
    <w:rsid w:val="00AB212D"/>
    <w:rsid w:val="00AB32C1"/>
    <w:rsid w:val="00AB3552"/>
    <w:rsid w:val="00AB3CC9"/>
    <w:rsid w:val="00AB49C3"/>
    <w:rsid w:val="00AB55F8"/>
    <w:rsid w:val="00AB5DF2"/>
    <w:rsid w:val="00AB5FAE"/>
    <w:rsid w:val="00AB6BAA"/>
    <w:rsid w:val="00AB6C4D"/>
    <w:rsid w:val="00AB7866"/>
    <w:rsid w:val="00AC0C66"/>
    <w:rsid w:val="00AC0D84"/>
    <w:rsid w:val="00AC1D3B"/>
    <w:rsid w:val="00AC2035"/>
    <w:rsid w:val="00AC226A"/>
    <w:rsid w:val="00AC246C"/>
    <w:rsid w:val="00AC2553"/>
    <w:rsid w:val="00AC2A38"/>
    <w:rsid w:val="00AC2FB2"/>
    <w:rsid w:val="00AC32FB"/>
    <w:rsid w:val="00AC3ADE"/>
    <w:rsid w:val="00AC3F58"/>
    <w:rsid w:val="00AC4C92"/>
    <w:rsid w:val="00AC4E28"/>
    <w:rsid w:val="00AC4E71"/>
    <w:rsid w:val="00AC4F65"/>
    <w:rsid w:val="00AC4F7E"/>
    <w:rsid w:val="00AC50E0"/>
    <w:rsid w:val="00AC56D6"/>
    <w:rsid w:val="00AC5700"/>
    <w:rsid w:val="00AC5A64"/>
    <w:rsid w:val="00AC6CDC"/>
    <w:rsid w:val="00AC6E75"/>
    <w:rsid w:val="00AC7042"/>
    <w:rsid w:val="00AC70B8"/>
    <w:rsid w:val="00AC752F"/>
    <w:rsid w:val="00AC798D"/>
    <w:rsid w:val="00AC7B8D"/>
    <w:rsid w:val="00AC7E49"/>
    <w:rsid w:val="00AD02C0"/>
    <w:rsid w:val="00AD099F"/>
    <w:rsid w:val="00AD1C10"/>
    <w:rsid w:val="00AD1D3D"/>
    <w:rsid w:val="00AD215C"/>
    <w:rsid w:val="00AD2825"/>
    <w:rsid w:val="00AD28FC"/>
    <w:rsid w:val="00AD2948"/>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655B"/>
    <w:rsid w:val="00AD69C8"/>
    <w:rsid w:val="00AD734C"/>
    <w:rsid w:val="00AD7922"/>
    <w:rsid w:val="00AE0413"/>
    <w:rsid w:val="00AE05BF"/>
    <w:rsid w:val="00AE0D8D"/>
    <w:rsid w:val="00AE23C8"/>
    <w:rsid w:val="00AE265A"/>
    <w:rsid w:val="00AE2968"/>
    <w:rsid w:val="00AE308D"/>
    <w:rsid w:val="00AE36D1"/>
    <w:rsid w:val="00AE3DDB"/>
    <w:rsid w:val="00AE4543"/>
    <w:rsid w:val="00AE4A64"/>
    <w:rsid w:val="00AE5266"/>
    <w:rsid w:val="00AE538C"/>
    <w:rsid w:val="00AE5771"/>
    <w:rsid w:val="00AE58F3"/>
    <w:rsid w:val="00AE59FC"/>
    <w:rsid w:val="00AE6AAF"/>
    <w:rsid w:val="00AE6B87"/>
    <w:rsid w:val="00AE6E97"/>
    <w:rsid w:val="00AE6F35"/>
    <w:rsid w:val="00AE758E"/>
    <w:rsid w:val="00AE75E3"/>
    <w:rsid w:val="00AE7CDB"/>
    <w:rsid w:val="00AF00F0"/>
    <w:rsid w:val="00AF059D"/>
    <w:rsid w:val="00AF077D"/>
    <w:rsid w:val="00AF0992"/>
    <w:rsid w:val="00AF0C7C"/>
    <w:rsid w:val="00AF0D62"/>
    <w:rsid w:val="00AF0EB3"/>
    <w:rsid w:val="00AF0ECF"/>
    <w:rsid w:val="00AF0EF3"/>
    <w:rsid w:val="00AF1144"/>
    <w:rsid w:val="00AF1281"/>
    <w:rsid w:val="00AF14C8"/>
    <w:rsid w:val="00AF1A33"/>
    <w:rsid w:val="00AF23D9"/>
    <w:rsid w:val="00AF290E"/>
    <w:rsid w:val="00AF29FA"/>
    <w:rsid w:val="00AF37D5"/>
    <w:rsid w:val="00AF381B"/>
    <w:rsid w:val="00AF3F63"/>
    <w:rsid w:val="00AF4326"/>
    <w:rsid w:val="00AF4345"/>
    <w:rsid w:val="00AF463B"/>
    <w:rsid w:val="00AF4CC5"/>
    <w:rsid w:val="00AF5319"/>
    <w:rsid w:val="00AF5E57"/>
    <w:rsid w:val="00AF608B"/>
    <w:rsid w:val="00AF6358"/>
    <w:rsid w:val="00AF6A59"/>
    <w:rsid w:val="00AF6EA3"/>
    <w:rsid w:val="00AF7A12"/>
    <w:rsid w:val="00AF7BDD"/>
    <w:rsid w:val="00AF7E21"/>
    <w:rsid w:val="00B0091F"/>
    <w:rsid w:val="00B00F8C"/>
    <w:rsid w:val="00B00FEC"/>
    <w:rsid w:val="00B0164A"/>
    <w:rsid w:val="00B02145"/>
    <w:rsid w:val="00B02F0C"/>
    <w:rsid w:val="00B032C8"/>
    <w:rsid w:val="00B03776"/>
    <w:rsid w:val="00B03ED8"/>
    <w:rsid w:val="00B0401D"/>
    <w:rsid w:val="00B042D2"/>
    <w:rsid w:val="00B0477D"/>
    <w:rsid w:val="00B04B34"/>
    <w:rsid w:val="00B04E8D"/>
    <w:rsid w:val="00B04F50"/>
    <w:rsid w:val="00B04F6D"/>
    <w:rsid w:val="00B0542F"/>
    <w:rsid w:val="00B05A05"/>
    <w:rsid w:val="00B062CF"/>
    <w:rsid w:val="00B06495"/>
    <w:rsid w:val="00B064F1"/>
    <w:rsid w:val="00B06DA3"/>
    <w:rsid w:val="00B109DF"/>
    <w:rsid w:val="00B11361"/>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8A6"/>
    <w:rsid w:val="00B15B7E"/>
    <w:rsid w:val="00B15DB9"/>
    <w:rsid w:val="00B1780E"/>
    <w:rsid w:val="00B17A7C"/>
    <w:rsid w:val="00B17F8A"/>
    <w:rsid w:val="00B200D3"/>
    <w:rsid w:val="00B2060E"/>
    <w:rsid w:val="00B20DCF"/>
    <w:rsid w:val="00B20DF0"/>
    <w:rsid w:val="00B20F8A"/>
    <w:rsid w:val="00B215EB"/>
    <w:rsid w:val="00B21852"/>
    <w:rsid w:val="00B21C1D"/>
    <w:rsid w:val="00B22522"/>
    <w:rsid w:val="00B2288A"/>
    <w:rsid w:val="00B23C9D"/>
    <w:rsid w:val="00B24028"/>
    <w:rsid w:val="00B24781"/>
    <w:rsid w:val="00B24D66"/>
    <w:rsid w:val="00B258AF"/>
    <w:rsid w:val="00B26218"/>
    <w:rsid w:val="00B264B0"/>
    <w:rsid w:val="00B26CDB"/>
    <w:rsid w:val="00B26ECF"/>
    <w:rsid w:val="00B27444"/>
    <w:rsid w:val="00B27734"/>
    <w:rsid w:val="00B27771"/>
    <w:rsid w:val="00B27787"/>
    <w:rsid w:val="00B27848"/>
    <w:rsid w:val="00B278D7"/>
    <w:rsid w:val="00B3091E"/>
    <w:rsid w:val="00B31602"/>
    <w:rsid w:val="00B319FE"/>
    <w:rsid w:val="00B32268"/>
    <w:rsid w:val="00B3232C"/>
    <w:rsid w:val="00B331B8"/>
    <w:rsid w:val="00B33786"/>
    <w:rsid w:val="00B337A4"/>
    <w:rsid w:val="00B33EC6"/>
    <w:rsid w:val="00B34725"/>
    <w:rsid w:val="00B3503A"/>
    <w:rsid w:val="00B355F0"/>
    <w:rsid w:val="00B3578C"/>
    <w:rsid w:val="00B359D8"/>
    <w:rsid w:val="00B35B9F"/>
    <w:rsid w:val="00B36759"/>
    <w:rsid w:val="00B369B6"/>
    <w:rsid w:val="00B36D9E"/>
    <w:rsid w:val="00B36F4E"/>
    <w:rsid w:val="00B372C8"/>
    <w:rsid w:val="00B37311"/>
    <w:rsid w:val="00B373FB"/>
    <w:rsid w:val="00B37975"/>
    <w:rsid w:val="00B37D5F"/>
    <w:rsid w:val="00B37F0B"/>
    <w:rsid w:val="00B40098"/>
    <w:rsid w:val="00B400A4"/>
    <w:rsid w:val="00B4106F"/>
    <w:rsid w:val="00B41291"/>
    <w:rsid w:val="00B414F1"/>
    <w:rsid w:val="00B41BE7"/>
    <w:rsid w:val="00B424F7"/>
    <w:rsid w:val="00B42568"/>
    <w:rsid w:val="00B4316E"/>
    <w:rsid w:val="00B4339F"/>
    <w:rsid w:val="00B4381B"/>
    <w:rsid w:val="00B4383C"/>
    <w:rsid w:val="00B4403D"/>
    <w:rsid w:val="00B456F7"/>
    <w:rsid w:val="00B45847"/>
    <w:rsid w:val="00B46022"/>
    <w:rsid w:val="00B460A1"/>
    <w:rsid w:val="00B46275"/>
    <w:rsid w:val="00B464C7"/>
    <w:rsid w:val="00B4658A"/>
    <w:rsid w:val="00B46AEE"/>
    <w:rsid w:val="00B46C49"/>
    <w:rsid w:val="00B46FB6"/>
    <w:rsid w:val="00B4733F"/>
    <w:rsid w:val="00B4758E"/>
    <w:rsid w:val="00B47CBB"/>
    <w:rsid w:val="00B50165"/>
    <w:rsid w:val="00B5083E"/>
    <w:rsid w:val="00B50ADB"/>
    <w:rsid w:val="00B51163"/>
    <w:rsid w:val="00B51604"/>
    <w:rsid w:val="00B51D47"/>
    <w:rsid w:val="00B51F1C"/>
    <w:rsid w:val="00B51F64"/>
    <w:rsid w:val="00B539B6"/>
    <w:rsid w:val="00B53B4E"/>
    <w:rsid w:val="00B53C5F"/>
    <w:rsid w:val="00B54245"/>
    <w:rsid w:val="00B54A24"/>
    <w:rsid w:val="00B54ADD"/>
    <w:rsid w:val="00B54BD8"/>
    <w:rsid w:val="00B5596C"/>
    <w:rsid w:val="00B564FC"/>
    <w:rsid w:val="00B569B2"/>
    <w:rsid w:val="00B56A08"/>
    <w:rsid w:val="00B56B34"/>
    <w:rsid w:val="00B56DCE"/>
    <w:rsid w:val="00B56FBD"/>
    <w:rsid w:val="00B5715A"/>
    <w:rsid w:val="00B57327"/>
    <w:rsid w:val="00B57469"/>
    <w:rsid w:val="00B57575"/>
    <w:rsid w:val="00B57850"/>
    <w:rsid w:val="00B57930"/>
    <w:rsid w:val="00B6002D"/>
    <w:rsid w:val="00B6010B"/>
    <w:rsid w:val="00B61262"/>
    <w:rsid w:val="00B61960"/>
    <w:rsid w:val="00B6210A"/>
    <w:rsid w:val="00B6220A"/>
    <w:rsid w:val="00B629F3"/>
    <w:rsid w:val="00B63671"/>
    <w:rsid w:val="00B640CF"/>
    <w:rsid w:val="00B648F2"/>
    <w:rsid w:val="00B650C5"/>
    <w:rsid w:val="00B65828"/>
    <w:rsid w:val="00B658E9"/>
    <w:rsid w:val="00B65E01"/>
    <w:rsid w:val="00B665BB"/>
    <w:rsid w:val="00B66800"/>
    <w:rsid w:val="00B668CA"/>
    <w:rsid w:val="00B66939"/>
    <w:rsid w:val="00B66AB0"/>
    <w:rsid w:val="00B66CEA"/>
    <w:rsid w:val="00B66F00"/>
    <w:rsid w:val="00B67043"/>
    <w:rsid w:val="00B67424"/>
    <w:rsid w:val="00B674EC"/>
    <w:rsid w:val="00B677D7"/>
    <w:rsid w:val="00B67C44"/>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69A"/>
    <w:rsid w:val="00B76A3F"/>
    <w:rsid w:val="00B76A7D"/>
    <w:rsid w:val="00B76CE1"/>
    <w:rsid w:val="00B776D5"/>
    <w:rsid w:val="00B77798"/>
    <w:rsid w:val="00B77876"/>
    <w:rsid w:val="00B77B7E"/>
    <w:rsid w:val="00B80744"/>
    <w:rsid w:val="00B808CB"/>
    <w:rsid w:val="00B80979"/>
    <w:rsid w:val="00B810F0"/>
    <w:rsid w:val="00B8123C"/>
    <w:rsid w:val="00B818AA"/>
    <w:rsid w:val="00B81B66"/>
    <w:rsid w:val="00B81BC2"/>
    <w:rsid w:val="00B81C75"/>
    <w:rsid w:val="00B81D8F"/>
    <w:rsid w:val="00B81EEF"/>
    <w:rsid w:val="00B81F26"/>
    <w:rsid w:val="00B8273A"/>
    <w:rsid w:val="00B82E9F"/>
    <w:rsid w:val="00B8358F"/>
    <w:rsid w:val="00B83F68"/>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294"/>
    <w:rsid w:val="00B93431"/>
    <w:rsid w:val="00B93500"/>
    <w:rsid w:val="00B93D97"/>
    <w:rsid w:val="00B94046"/>
    <w:rsid w:val="00B94392"/>
    <w:rsid w:val="00B94CDE"/>
    <w:rsid w:val="00B94DB1"/>
    <w:rsid w:val="00B9502A"/>
    <w:rsid w:val="00B955F5"/>
    <w:rsid w:val="00B95663"/>
    <w:rsid w:val="00B95A36"/>
    <w:rsid w:val="00B95CCC"/>
    <w:rsid w:val="00B95F44"/>
    <w:rsid w:val="00B96765"/>
    <w:rsid w:val="00B96CBA"/>
    <w:rsid w:val="00B96D3C"/>
    <w:rsid w:val="00B97577"/>
    <w:rsid w:val="00B97F5F"/>
    <w:rsid w:val="00BA00EA"/>
    <w:rsid w:val="00BA041F"/>
    <w:rsid w:val="00BA0FE9"/>
    <w:rsid w:val="00BA139F"/>
    <w:rsid w:val="00BA1A0B"/>
    <w:rsid w:val="00BA1E85"/>
    <w:rsid w:val="00BA27F0"/>
    <w:rsid w:val="00BA2DCE"/>
    <w:rsid w:val="00BA359B"/>
    <w:rsid w:val="00BA3611"/>
    <w:rsid w:val="00BA3A93"/>
    <w:rsid w:val="00BA4D05"/>
    <w:rsid w:val="00BA5165"/>
    <w:rsid w:val="00BA5599"/>
    <w:rsid w:val="00BA582C"/>
    <w:rsid w:val="00BA5A40"/>
    <w:rsid w:val="00BA5FD5"/>
    <w:rsid w:val="00BA62AB"/>
    <w:rsid w:val="00BA62EA"/>
    <w:rsid w:val="00BA64FB"/>
    <w:rsid w:val="00BA6589"/>
    <w:rsid w:val="00BA7645"/>
    <w:rsid w:val="00BA7E0B"/>
    <w:rsid w:val="00BB0941"/>
    <w:rsid w:val="00BB0DE3"/>
    <w:rsid w:val="00BB0EA0"/>
    <w:rsid w:val="00BB10CD"/>
    <w:rsid w:val="00BB10F0"/>
    <w:rsid w:val="00BB122E"/>
    <w:rsid w:val="00BB1CE7"/>
    <w:rsid w:val="00BB25BB"/>
    <w:rsid w:val="00BB3AD8"/>
    <w:rsid w:val="00BB4A6F"/>
    <w:rsid w:val="00BB56B1"/>
    <w:rsid w:val="00BB5759"/>
    <w:rsid w:val="00BB5A30"/>
    <w:rsid w:val="00BB5B98"/>
    <w:rsid w:val="00BB5E0C"/>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56"/>
    <w:rsid w:val="00BC54D1"/>
    <w:rsid w:val="00BC5550"/>
    <w:rsid w:val="00BC6145"/>
    <w:rsid w:val="00BC6308"/>
    <w:rsid w:val="00BC63FE"/>
    <w:rsid w:val="00BC666D"/>
    <w:rsid w:val="00BC67A4"/>
    <w:rsid w:val="00BC6B4D"/>
    <w:rsid w:val="00BC6C4F"/>
    <w:rsid w:val="00BC76AA"/>
    <w:rsid w:val="00BC7987"/>
    <w:rsid w:val="00BD005C"/>
    <w:rsid w:val="00BD1290"/>
    <w:rsid w:val="00BD17E7"/>
    <w:rsid w:val="00BD1CFB"/>
    <w:rsid w:val="00BD2921"/>
    <w:rsid w:val="00BD2B8F"/>
    <w:rsid w:val="00BD2DBC"/>
    <w:rsid w:val="00BD35B9"/>
    <w:rsid w:val="00BD36EC"/>
    <w:rsid w:val="00BD4A52"/>
    <w:rsid w:val="00BD51CA"/>
    <w:rsid w:val="00BD5CD2"/>
    <w:rsid w:val="00BD77DE"/>
    <w:rsid w:val="00BD79C2"/>
    <w:rsid w:val="00BE0B84"/>
    <w:rsid w:val="00BE1038"/>
    <w:rsid w:val="00BE1F2E"/>
    <w:rsid w:val="00BE1FA7"/>
    <w:rsid w:val="00BE222B"/>
    <w:rsid w:val="00BE2AD7"/>
    <w:rsid w:val="00BE2BAA"/>
    <w:rsid w:val="00BE2C5A"/>
    <w:rsid w:val="00BE35FC"/>
    <w:rsid w:val="00BE4F8D"/>
    <w:rsid w:val="00BE590A"/>
    <w:rsid w:val="00BE644A"/>
    <w:rsid w:val="00BE684F"/>
    <w:rsid w:val="00BE751D"/>
    <w:rsid w:val="00BE770F"/>
    <w:rsid w:val="00BE778C"/>
    <w:rsid w:val="00BE7D6D"/>
    <w:rsid w:val="00BF01C8"/>
    <w:rsid w:val="00BF01D4"/>
    <w:rsid w:val="00BF025E"/>
    <w:rsid w:val="00BF0536"/>
    <w:rsid w:val="00BF0CF9"/>
    <w:rsid w:val="00BF0E2E"/>
    <w:rsid w:val="00BF1001"/>
    <w:rsid w:val="00BF20FB"/>
    <w:rsid w:val="00BF26EB"/>
    <w:rsid w:val="00BF28FB"/>
    <w:rsid w:val="00BF2997"/>
    <w:rsid w:val="00BF3583"/>
    <w:rsid w:val="00BF4C22"/>
    <w:rsid w:val="00BF4CD1"/>
    <w:rsid w:val="00BF4DD7"/>
    <w:rsid w:val="00BF4F0D"/>
    <w:rsid w:val="00BF51E4"/>
    <w:rsid w:val="00BF6043"/>
    <w:rsid w:val="00BF6FD5"/>
    <w:rsid w:val="00BF7224"/>
    <w:rsid w:val="00BF76ED"/>
    <w:rsid w:val="00C00156"/>
    <w:rsid w:val="00C003C3"/>
    <w:rsid w:val="00C004DD"/>
    <w:rsid w:val="00C00550"/>
    <w:rsid w:val="00C00696"/>
    <w:rsid w:val="00C006F6"/>
    <w:rsid w:val="00C00838"/>
    <w:rsid w:val="00C008C4"/>
    <w:rsid w:val="00C008C6"/>
    <w:rsid w:val="00C00BE6"/>
    <w:rsid w:val="00C00CE6"/>
    <w:rsid w:val="00C00F80"/>
    <w:rsid w:val="00C01079"/>
    <w:rsid w:val="00C01250"/>
    <w:rsid w:val="00C01316"/>
    <w:rsid w:val="00C01619"/>
    <w:rsid w:val="00C01745"/>
    <w:rsid w:val="00C017AA"/>
    <w:rsid w:val="00C02098"/>
    <w:rsid w:val="00C02269"/>
    <w:rsid w:val="00C03041"/>
    <w:rsid w:val="00C03447"/>
    <w:rsid w:val="00C03815"/>
    <w:rsid w:val="00C03E02"/>
    <w:rsid w:val="00C041F4"/>
    <w:rsid w:val="00C04248"/>
    <w:rsid w:val="00C04A0D"/>
    <w:rsid w:val="00C04C59"/>
    <w:rsid w:val="00C0524E"/>
    <w:rsid w:val="00C05428"/>
    <w:rsid w:val="00C058A3"/>
    <w:rsid w:val="00C05E05"/>
    <w:rsid w:val="00C069CA"/>
    <w:rsid w:val="00C06AF1"/>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3A7"/>
    <w:rsid w:val="00C15BE1"/>
    <w:rsid w:val="00C160D9"/>
    <w:rsid w:val="00C16B21"/>
    <w:rsid w:val="00C16B32"/>
    <w:rsid w:val="00C16FF1"/>
    <w:rsid w:val="00C17089"/>
    <w:rsid w:val="00C1715B"/>
    <w:rsid w:val="00C1757F"/>
    <w:rsid w:val="00C1792B"/>
    <w:rsid w:val="00C17B74"/>
    <w:rsid w:val="00C17BCC"/>
    <w:rsid w:val="00C20009"/>
    <w:rsid w:val="00C2026D"/>
    <w:rsid w:val="00C20358"/>
    <w:rsid w:val="00C20A09"/>
    <w:rsid w:val="00C20AEB"/>
    <w:rsid w:val="00C20F22"/>
    <w:rsid w:val="00C210C3"/>
    <w:rsid w:val="00C21FF8"/>
    <w:rsid w:val="00C220F2"/>
    <w:rsid w:val="00C223A0"/>
    <w:rsid w:val="00C23BBD"/>
    <w:rsid w:val="00C2455C"/>
    <w:rsid w:val="00C24638"/>
    <w:rsid w:val="00C2472D"/>
    <w:rsid w:val="00C25DE4"/>
    <w:rsid w:val="00C26495"/>
    <w:rsid w:val="00C2695B"/>
    <w:rsid w:val="00C273ED"/>
    <w:rsid w:val="00C27447"/>
    <w:rsid w:val="00C27891"/>
    <w:rsid w:val="00C27D45"/>
    <w:rsid w:val="00C300F5"/>
    <w:rsid w:val="00C30AED"/>
    <w:rsid w:val="00C31073"/>
    <w:rsid w:val="00C314B5"/>
    <w:rsid w:val="00C32285"/>
    <w:rsid w:val="00C323E5"/>
    <w:rsid w:val="00C32570"/>
    <w:rsid w:val="00C32C1E"/>
    <w:rsid w:val="00C32D53"/>
    <w:rsid w:val="00C32F69"/>
    <w:rsid w:val="00C3312E"/>
    <w:rsid w:val="00C3335C"/>
    <w:rsid w:val="00C33CD5"/>
    <w:rsid w:val="00C33D0A"/>
    <w:rsid w:val="00C340CF"/>
    <w:rsid w:val="00C34101"/>
    <w:rsid w:val="00C34796"/>
    <w:rsid w:val="00C348FE"/>
    <w:rsid w:val="00C34FBC"/>
    <w:rsid w:val="00C35087"/>
    <w:rsid w:val="00C3523B"/>
    <w:rsid w:val="00C35947"/>
    <w:rsid w:val="00C36079"/>
    <w:rsid w:val="00C36B3D"/>
    <w:rsid w:val="00C36FFE"/>
    <w:rsid w:val="00C37913"/>
    <w:rsid w:val="00C40590"/>
    <w:rsid w:val="00C40A83"/>
    <w:rsid w:val="00C40D37"/>
    <w:rsid w:val="00C412E1"/>
    <w:rsid w:val="00C4151E"/>
    <w:rsid w:val="00C416FD"/>
    <w:rsid w:val="00C41E73"/>
    <w:rsid w:val="00C41FA0"/>
    <w:rsid w:val="00C42143"/>
    <w:rsid w:val="00C4271F"/>
    <w:rsid w:val="00C42A6C"/>
    <w:rsid w:val="00C42B60"/>
    <w:rsid w:val="00C42BD9"/>
    <w:rsid w:val="00C43B11"/>
    <w:rsid w:val="00C43E4A"/>
    <w:rsid w:val="00C43FD4"/>
    <w:rsid w:val="00C4445E"/>
    <w:rsid w:val="00C446B1"/>
    <w:rsid w:val="00C44846"/>
    <w:rsid w:val="00C45A51"/>
    <w:rsid w:val="00C465D5"/>
    <w:rsid w:val="00C469E3"/>
    <w:rsid w:val="00C47155"/>
    <w:rsid w:val="00C47987"/>
    <w:rsid w:val="00C47CD2"/>
    <w:rsid w:val="00C47D56"/>
    <w:rsid w:val="00C5015A"/>
    <w:rsid w:val="00C510DE"/>
    <w:rsid w:val="00C52734"/>
    <w:rsid w:val="00C529C6"/>
    <w:rsid w:val="00C52D66"/>
    <w:rsid w:val="00C536E4"/>
    <w:rsid w:val="00C538AE"/>
    <w:rsid w:val="00C53C32"/>
    <w:rsid w:val="00C53E7A"/>
    <w:rsid w:val="00C5418B"/>
    <w:rsid w:val="00C54481"/>
    <w:rsid w:val="00C54492"/>
    <w:rsid w:val="00C544B6"/>
    <w:rsid w:val="00C54601"/>
    <w:rsid w:val="00C54799"/>
    <w:rsid w:val="00C54BA5"/>
    <w:rsid w:val="00C54E26"/>
    <w:rsid w:val="00C56A84"/>
    <w:rsid w:val="00C575E8"/>
    <w:rsid w:val="00C5777E"/>
    <w:rsid w:val="00C57909"/>
    <w:rsid w:val="00C57EB0"/>
    <w:rsid w:val="00C60984"/>
    <w:rsid w:val="00C60E33"/>
    <w:rsid w:val="00C610C7"/>
    <w:rsid w:val="00C6111A"/>
    <w:rsid w:val="00C61801"/>
    <w:rsid w:val="00C618DF"/>
    <w:rsid w:val="00C62F26"/>
    <w:rsid w:val="00C6318D"/>
    <w:rsid w:val="00C64D0B"/>
    <w:rsid w:val="00C65030"/>
    <w:rsid w:val="00C6527B"/>
    <w:rsid w:val="00C652A1"/>
    <w:rsid w:val="00C655E4"/>
    <w:rsid w:val="00C65613"/>
    <w:rsid w:val="00C65738"/>
    <w:rsid w:val="00C65888"/>
    <w:rsid w:val="00C6590A"/>
    <w:rsid w:val="00C65FFB"/>
    <w:rsid w:val="00C664EF"/>
    <w:rsid w:val="00C66613"/>
    <w:rsid w:val="00C66663"/>
    <w:rsid w:val="00C667A9"/>
    <w:rsid w:val="00C6680D"/>
    <w:rsid w:val="00C668D8"/>
    <w:rsid w:val="00C66A49"/>
    <w:rsid w:val="00C66BCD"/>
    <w:rsid w:val="00C66E74"/>
    <w:rsid w:val="00C67029"/>
    <w:rsid w:val="00C671D2"/>
    <w:rsid w:val="00C672E1"/>
    <w:rsid w:val="00C67A4B"/>
    <w:rsid w:val="00C70A0A"/>
    <w:rsid w:val="00C70A17"/>
    <w:rsid w:val="00C70B38"/>
    <w:rsid w:val="00C70B43"/>
    <w:rsid w:val="00C71A56"/>
    <w:rsid w:val="00C71F36"/>
    <w:rsid w:val="00C724BD"/>
    <w:rsid w:val="00C730CC"/>
    <w:rsid w:val="00C73350"/>
    <w:rsid w:val="00C7368A"/>
    <w:rsid w:val="00C7382E"/>
    <w:rsid w:val="00C7532A"/>
    <w:rsid w:val="00C75721"/>
    <w:rsid w:val="00C760A6"/>
    <w:rsid w:val="00C762B7"/>
    <w:rsid w:val="00C76825"/>
    <w:rsid w:val="00C776D2"/>
    <w:rsid w:val="00C77C4B"/>
    <w:rsid w:val="00C77D50"/>
    <w:rsid w:val="00C806F5"/>
    <w:rsid w:val="00C80CFE"/>
    <w:rsid w:val="00C80DC6"/>
    <w:rsid w:val="00C8125C"/>
    <w:rsid w:val="00C81302"/>
    <w:rsid w:val="00C815E4"/>
    <w:rsid w:val="00C817F9"/>
    <w:rsid w:val="00C81C15"/>
    <w:rsid w:val="00C820FC"/>
    <w:rsid w:val="00C82276"/>
    <w:rsid w:val="00C82720"/>
    <w:rsid w:val="00C8290C"/>
    <w:rsid w:val="00C833A2"/>
    <w:rsid w:val="00C84375"/>
    <w:rsid w:val="00C84D89"/>
    <w:rsid w:val="00C8512B"/>
    <w:rsid w:val="00C858C8"/>
    <w:rsid w:val="00C85A79"/>
    <w:rsid w:val="00C86242"/>
    <w:rsid w:val="00C8686A"/>
    <w:rsid w:val="00C86D64"/>
    <w:rsid w:val="00C875B5"/>
    <w:rsid w:val="00C87772"/>
    <w:rsid w:val="00C87CDD"/>
    <w:rsid w:val="00C909EE"/>
    <w:rsid w:val="00C90A93"/>
    <w:rsid w:val="00C90E27"/>
    <w:rsid w:val="00C910ED"/>
    <w:rsid w:val="00C914C9"/>
    <w:rsid w:val="00C9156F"/>
    <w:rsid w:val="00C917AA"/>
    <w:rsid w:val="00C91E57"/>
    <w:rsid w:val="00C922E8"/>
    <w:rsid w:val="00C92FFC"/>
    <w:rsid w:val="00C93188"/>
    <w:rsid w:val="00C93231"/>
    <w:rsid w:val="00C93538"/>
    <w:rsid w:val="00C93A23"/>
    <w:rsid w:val="00C94EF3"/>
    <w:rsid w:val="00C952A9"/>
    <w:rsid w:val="00C9534F"/>
    <w:rsid w:val="00C95E98"/>
    <w:rsid w:val="00C95F67"/>
    <w:rsid w:val="00C961C0"/>
    <w:rsid w:val="00C965E4"/>
    <w:rsid w:val="00C9675B"/>
    <w:rsid w:val="00C96B69"/>
    <w:rsid w:val="00C9739A"/>
    <w:rsid w:val="00C9782C"/>
    <w:rsid w:val="00CA13BF"/>
    <w:rsid w:val="00CA13F7"/>
    <w:rsid w:val="00CA1463"/>
    <w:rsid w:val="00CA14DE"/>
    <w:rsid w:val="00CA1BEB"/>
    <w:rsid w:val="00CA2082"/>
    <w:rsid w:val="00CA2517"/>
    <w:rsid w:val="00CA2A57"/>
    <w:rsid w:val="00CA2C4B"/>
    <w:rsid w:val="00CA308E"/>
    <w:rsid w:val="00CA30A9"/>
    <w:rsid w:val="00CA35EC"/>
    <w:rsid w:val="00CA3D36"/>
    <w:rsid w:val="00CA3EC4"/>
    <w:rsid w:val="00CA40AF"/>
    <w:rsid w:val="00CA4249"/>
    <w:rsid w:val="00CA4EF3"/>
    <w:rsid w:val="00CA50E2"/>
    <w:rsid w:val="00CA530C"/>
    <w:rsid w:val="00CA56B5"/>
    <w:rsid w:val="00CA575F"/>
    <w:rsid w:val="00CA6F7C"/>
    <w:rsid w:val="00CB0652"/>
    <w:rsid w:val="00CB0A8A"/>
    <w:rsid w:val="00CB12EC"/>
    <w:rsid w:val="00CB138C"/>
    <w:rsid w:val="00CB1BD3"/>
    <w:rsid w:val="00CB1DA2"/>
    <w:rsid w:val="00CB21EF"/>
    <w:rsid w:val="00CB26B1"/>
    <w:rsid w:val="00CB2714"/>
    <w:rsid w:val="00CB2824"/>
    <w:rsid w:val="00CB2863"/>
    <w:rsid w:val="00CB2C75"/>
    <w:rsid w:val="00CB2F95"/>
    <w:rsid w:val="00CB30E7"/>
    <w:rsid w:val="00CB3270"/>
    <w:rsid w:val="00CB395D"/>
    <w:rsid w:val="00CB45BA"/>
    <w:rsid w:val="00CB4DA4"/>
    <w:rsid w:val="00CB557A"/>
    <w:rsid w:val="00CB55B5"/>
    <w:rsid w:val="00CB5C0C"/>
    <w:rsid w:val="00CB6108"/>
    <w:rsid w:val="00CB644A"/>
    <w:rsid w:val="00CB6F20"/>
    <w:rsid w:val="00CB7071"/>
    <w:rsid w:val="00CB75F9"/>
    <w:rsid w:val="00CB7D14"/>
    <w:rsid w:val="00CB7D9F"/>
    <w:rsid w:val="00CC0793"/>
    <w:rsid w:val="00CC07A1"/>
    <w:rsid w:val="00CC0824"/>
    <w:rsid w:val="00CC08D7"/>
    <w:rsid w:val="00CC0A9A"/>
    <w:rsid w:val="00CC0B9C"/>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C7A10"/>
    <w:rsid w:val="00CD05F1"/>
    <w:rsid w:val="00CD0B6A"/>
    <w:rsid w:val="00CD0BAE"/>
    <w:rsid w:val="00CD0D3E"/>
    <w:rsid w:val="00CD1017"/>
    <w:rsid w:val="00CD129C"/>
    <w:rsid w:val="00CD12BA"/>
    <w:rsid w:val="00CD181E"/>
    <w:rsid w:val="00CD22AB"/>
    <w:rsid w:val="00CD2C45"/>
    <w:rsid w:val="00CD387C"/>
    <w:rsid w:val="00CD3D3F"/>
    <w:rsid w:val="00CD4727"/>
    <w:rsid w:val="00CD473F"/>
    <w:rsid w:val="00CD474C"/>
    <w:rsid w:val="00CD47B8"/>
    <w:rsid w:val="00CD5589"/>
    <w:rsid w:val="00CD5CCC"/>
    <w:rsid w:val="00CD6190"/>
    <w:rsid w:val="00CD6803"/>
    <w:rsid w:val="00CD6B16"/>
    <w:rsid w:val="00CD6B5E"/>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35"/>
    <w:rsid w:val="00CE36F5"/>
    <w:rsid w:val="00CE3F49"/>
    <w:rsid w:val="00CE49B0"/>
    <w:rsid w:val="00CE4DAE"/>
    <w:rsid w:val="00CE4EA8"/>
    <w:rsid w:val="00CE5261"/>
    <w:rsid w:val="00CE584B"/>
    <w:rsid w:val="00CE5A0A"/>
    <w:rsid w:val="00CE5E50"/>
    <w:rsid w:val="00CE6C5C"/>
    <w:rsid w:val="00CE72F6"/>
    <w:rsid w:val="00CE7FF2"/>
    <w:rsid w:val="00CF0E8B"/>
    <w:rsid w:val="00CF1090"/>
    <w:rsid w:val="00CF12DA"/>
    <w:rsid w:val="00CF1569"/>
    <w:rsid w:val="00CF1AB9"/>
    <w:rsid w:val="00CF1B03"/>
    <w:rsid w:val="00CF1B1E"/>
    <w:rsid w:val="00CF1E58"/>
    <w:rsid w:val="00CF1F79"/>
    <w:rsid w:val="00CF2B1C"/>
    <w:rsid w:val="00CF2B8E"/>
    <w:rsid w:val="00CF2E64"/>
    <w:rsid w:val="00CF39B2"/>
    <w:rsid w:val="00CF3E3D"/>
    <w:rsid w:val="00CF4060"/>
    <w:rsid w:val="00CF4077"/>
    <w:rsid w:val="00CF52EB"/>
    <w:rsid w:val="00CF585D"/>
    <w:rsid w:val="00CF5CA8"/>
    <w:rsid w:val="00CF6343"/>
    <w:rsid w:val="00CF72BD"/>
    <w:rsid w:val="00CF767E"/>
    <w:rsid w:val="00CF78C0"/>
    <w:rsid w:val="00D00123"/>
    <w:rsid w:val="00D015A8"/>
    <w:rsid w:val="00D018D0"/>
    <w:rsid w:val="00D024F9"/>
    <w:rsid w:val="00D027F9"/>
    <w:rsid w:val="00D032AA"/>
    <w:rsid w:val="00D03835"/>
    <w:rsid w:val="00D03A3E"/>
    <w:rsid w:val="00D03B1A"/>
    <w:rsid w:val="00D03D48"/>
    <w:rsid w:val="00D03E97"/>
    <w:rsid w:val="00D040BB"/>
    <w:rsid w:val="00D04C40"/>
    <w:rsid w:val="00D05695"/>
    <w:rsid w:val="00D056E9"/>
    <w:rsid w:val="00D0572A"/>
    <w:rsid w:val="00D05CB6"/>
    <w:rsid w:val="00D06325"/>
    <w:rsid w:val="00D06858"/>
    <w:rsid w:val="00D07144"/>
    <w:rsid w:val="00D07684"/>
    <w:rsid w:val="00D076A6"/>
    <w:rsid w:val="00D07B7D"/>
    <w:rsid w:val="00D07F59"/>
    <w:rsid w:val="00D104B2"/>
    <w:rsid w:val="00D10986"/>
    <w:rsid w:val="00D10DDF"/>
    <w:rsid w:val="00D10FAC"/>
    <w:rsid w:val="00D117BB"/>
    <w:rsid w:val="00D11BB2"/>
    <w:rsid w:val="00D128F7"/>
    <w:rsid w:val="00D12AF0"/>
    <w:rsid w:val="00D12F1F"/>
    <w:rsid w:val="00D131E0"/>
    <w:rsid w:val="00D13207"/>
    <w:rsid w:val="00D13358"/>
    <w:rsid w:val="00D1342C"/>
    <w:rsid w:val="00D142FA"/>
    <w:rsid w:val="00D14873"/>
    <w:rsid w:val="00D14C06"/>
    <w:rsid w:val="00D14CF2"/>
    <w:rsid w:val="00D14DAF"/>
    <w:rsid w:val="00D1503A"/>
    <w:rsid w:val="00D1564A"/>
    <w:rsid w:val="00D156E5"/>
    <w:rsid w:val="00D15AF0"/>
    <w:rsid w:val="00D15D71"/>
    <w:rsid w:val="00D16747"/>
    <w:rsid w:val="00D16B4A"/>
    <w:rsid w:val="00D16C61"/>
    <w:rsid w:val="00D170C7"/>
    <w:rsid w:val="00D175C7"/>
    <w:rsid w:val="00D17D0C"/>
    <w:rsid w:val="00D17E09"/>
    <w:rsid w:val="00D20150"/>
    <w:rsid w:val="00D2059E"/>
    <w:rsid w:val="00D20886"/>
    <w:rsid w:val="00D2276B"/>
    <w:rsid w:val="00D22E00"/>
    <w:rsid w:val="00D23172"/>
    <w:rsid w:val="00D23E97"/>
    <w:rsid w:val="00D24347"/>
    <w:rsid w:val="00D24573"/>
    <w:rsid w:val="00D24C42"/>
    <w:rsid w:val="00D251E6"/>
    <w:rsid w:val="00D259B0"/>
    <w:rsid w:val="00D26011"/>
    <w:rsid w:val="00D26097"/>
    <w:rsid w:val="00D261C5"/>
    <w:rsid w:val="00D26391"/>
    <w:rsid w:val="00D2699D"/>
    <w:rsid w:val="00D26D50"/>
    <w:rsid w:val="00D26F65"/>
    <w:rsid w:val="00D27747"/>
    <w:rsid w:val="00D27BF7"/>
    <w:rsid w:val="00D305C4"/>
    <w:rsid w:val="00D30729"/>
    <w:rsid w:val="00D30EAF"/>
    <w:rsid w:val="00D314F6"/>
    <w:rsid w:val="00D31A4F"/>
    <w:rsid w:val="00D31D6C"/>
    <w:rsid w:val="00D31D99"/>
    <w:rsid w:val="00D32237"/>
    <w:rsid w:val="00D32CDD"/>
    <w:rsid w:val="00D32E0D"/>
    <w:rsid w:val="00D3326D"/>
    <w:rsid w:val="00D33977"/>
    <w:rsid w:val="00D33B19"/>
    <w:rsid w:val="00D34097"/>
    <w:rsid w:val="00D34236"/>
    <w:rsid w:val="00D34960"/>
    <w:rsid w:val="00D34CFF"/>
    <w:rsid w:val="00D3544C"/>
    <w:rsid w:val="00D35814"/>
    <w:rsid w:val="00D35FF1"/>
    <w:rsid w:val="00D3719F"/>
    <w:rsid w:val="00D371C8"/>
    <w:rsid w:val="00D4040D"/>
    <w:rsid w:val="00D4061B"/>
    <w:rsid w:val="00D4075F"/>
    <w:rsid w:val="00D40F50"/>
    <w:rsid w:val="00D41402"/>
    <w:rsid w:val="00D420B2"/>
    <w:rsid w:val="00D42AB0"/>
    <w:rsid w:val="00D431DA"/>
    <w:rsid w:val="00D43352"/>
    <w:rsid w:val="00D43450"/>
    <w:rsid w:val="00D43D75"/>
    <w:rsid w:val="00D43F48"/>
    <w:rsid w:val="00D43F90"/>
    <w:rsid w:val="00D43FC8"/>
    <w:rsid w:val="00D4412A"/>
    <w:rsid w:val="00D44156"/>
    <w:rsid w:val="00D44198"/>
    <w:rsid w:val="00D44361"/>
    <w:rsid w:val="00D445B3"/>
    <w:rsid w:val="00D453B5"/>
    <w:rsid w:val="00D4565D"/>
    <w:rsid w:val="00D45977"/>
    <w:rsid w:val="00D45B0D"/>
    <w:rsid w:val="00D4634C"/>
    <w:rsid w:val="00D469BB"/>
    <w:rsid w:val="00D46DBF"/>
    <w:rsid w:val="00D46F26"/>
    <w:rsid w:val="00D4736E"/>
    <w:rsid w:val="00D47591"/>
    <w:rsid w:val="00D50C90"/>
    <w:rsid w:val="00D50F4A"/>
    <w:rsid w:val="00D50FDA"/>
    <w:rsid w:val="00D51089"/>
    <w:rsid w:val="00D5228C"/>
    <w:rsid w:val="00D5238C"/>
    <w:rsid w:val="00D52E06"/>
    <w:rsid w:val="00D53650"/>
    <w:rsid w:val="00D543B4"/>
    <w:rsid w:val="00D54ECE"/>
    <w:rsid w:val="00D552B5"/>
    <w:rsid w:val="00D553C7"/>
    <w:rsid w:val="00D559C2"/>
    <w:rsid w:val="00D55C3D"/>
    <w:rsid w:val="00D5648F"/>
    <w:rsid w:val="00D5651D"/>
    <w:rsid w:val="00D57427"/>
    <w:rsid w:val="00D57B21"/>
    <w:rsid w:val="00D57B9A"/>
    <w:rsid w:val="00D60190"/>
    <w:rsid w:val="00D602D3"/>
    <w:rsid w:val="00D60414"/>
    <w:rsid w:val="00D605A5"/>
    <w:rsid w:val="00D606A0"/>
    <w:rsid w:val="00D60959"/>
    <w:rsid w:val="00D60A2F"/>
    <w:rsid w:val="00D60A96"/>
    <w:rsid w:val="00D60DAB"/>
    <w:rsid w:val="00D61A8A"/>
    <w:rsid w:val="00D61DB9"/>
    <w:rsid w:val="00D61EEC"/>
    <w:rsid w:val="00D62369"/>
    <w:rsid w:val="00D623AA"/>
    <w:rsid w:val="00D62A24"/>
    <w:rsid w:val="00D62FAC"/>
    <w:rsid w:val="00D632ED"/>
    <w:rsid w:val="00D635B0"/>
    <w:rsid w:val="00D637A9"/>
    <w:rsid w:val="00D63BE1"/>
    <w:rsid w:val="00D65280"/>
    <w:rsid w:val="00D65487"/>
    <w:rsid w:val="00D65FD3"/>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57C"/>
    <w:rsid w:val="00D726A5"/>
    <w:rsid w:val="00D727AC"/>
    <w:rsid w:val="00D7290B"/>
    <w:rsid w:val="00D72AC2"/>
    <w:rsid w:val="00D72CAE"/>
    <w:rsid w:val="00D73316"/>
    <w:rsid w:val="00D733B8"/>
    <w:rsid w:val="00D74660"/>
    <w:rsid w:val="00D74797"/>
    <w:rsid w:val="00D74968"/>
    <w:rsid w:val="00D749D2"/>
    <w:rsid w:val="00D74D9B"/>
    <w:rsid w:val="00D74F78"/>
    <w:rsid w:val="00D750A2"/>
    <w:rsid w:val="00D750A9"/>
    <w:rsid w:val="00D75650"/>
    <w:rsid w:val="00D756E8"/>
    <w:rsid w:val="00D801EB"/>
    <w:rsid w:val="00D80747"/>
    <w:rsid w:val="00D8099F"/>
    <w:rsid w:val="00D809FF"/>
    <w:rsid w:val="00D80E48"/>
    <w:rsid w:val="00D80F20"/>
    <w:rsid w:val="00D810F2"/>
    <w:rsid w:val="00D81285"/>
    <w:rsid w:val="00D81B9A"/>
    <w:rsid w:val="00D822C6"/>
    <w:rsid w:val="00D82890"/>
    <w:rsid w:val="00D83449"/>
    <w:rsid w:val="00D835FA"/>
    <w:rsid w:val="00D83C19"/>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0A4"/>
    <w:rsid w:val="00D941AE"/>
    <w:rsid w:val="00D9480C"/>
    <w:rsid w:val="00D948F8"/>
    <w:rsid w:val="00D94E5E"/>
    <w:rsid w:val="00D94F2C"/>
    <w:rsid w:val="00D95F69"/>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4C"/>
    <w:rsid w:val="00DA156A"/>
    <w:rsid w:val="00DA1BBE"/>
    <w:rsid w:val="00DA1D9A"/>
    <w:rsid w:val="00DA1DA8"/>
    <w:rsid w:val="00DA22C1"/>
    <w:rsid w:val="00DA24B0"/>
    <w:rsid w:val="00DA2582"/>
    <w:rsid w:val="00DA2694"/>
    <w:rsid w:val="00DA3B4D"/>
    <w:rsid w:val="00DA3CF1"/>
    <w:rsid w:val="00DA405C"/>
    <w:rsid w:val="00DA4B0E"/>
    <w:rsid w:val="00DA50E4"/>
    <w:rsid w:val="00DA58E8"/>
    <w:rsid w:val="00DA5BEB"/>
    <w:rsid w:val="00DA6BFD"/>
    <w:rsid w:val="00DA7645"/>
    <w:rsid w:val="00DA7A58"/>
    <w:rsid w:val="00DA7E15"/>
    <w:rsid w:val="00DA7E1B"/>
    <w:rsid w:val="00DA7FC8"/>
    <w:rsid w:val="00DB02FF"/>
    <w:rsid w:val="00DB06FC"/>
    <w:rsid w:val="00DB10BD"/>
    <w:rsid w:val="00DB1433"/>
    <w:rsid w:val="00DB197C"/>
    <w:rsid w:val="00DB1AAF"/>
    <w:rsid w:val="00DB1D8B"/>
    <w:rsid w:val="00DB2464"/>
    <w:rsid w:val="00DB26B5"/>
    <w:rsid w:val="00DB340C"/>
    <w:rsid w:val="00DB3AA0"/>
    <w:rsid w:val="00DB3C49"/>
    <w:rsid w:val="00DB40EA"/>
    <w:rsid w:val="00DB41B9"/>
    <w:rsid w:val="00DB42C2"/>
    <w:rsid w:val="00DB444B"/>
    <w:rsid w:val="00DB44E8"/>
    <w:rsid w:val="00DB4628"/>
    <w:rsid w:val="00DB4700"/>
    <w:rsid w:val="00DB4714"/>
    <w:rsid w:val="00DB4788"/>
    <w:rsid w:val="00DB4D04"/>
    <w:rsid w:val="00DB4E50"/>
    <w:rsid w:val="00DB510A"/>
    <w:rsid w:val="00DB5178"/>
    <w:rsid w:val="00DB5386"/>
    <w:rsid w:val="00DB5690"/>
    <w:rsid w:val="00DB5ABE"/>
    <w:rsid w:val="00DB6055"/>
    <w:rsid w:val="00DB6292"/>
    <w:rsid w:val="00DB658C"/>
    <w:rsid w:val="00DB67E7"/>
    <w:rsid w:val="00DB68BB"/>
    <w:rsid w:val="00DB6BFF"/>
    <w:rsid w:val="00DB7F10"/>
    <w:rsid w:val="00DC01AB"/>
    <w:rsid w:val="00DC1308"/>
    <w:rsid w:val="00DC1524"/>
    <w:rsid w:val="00DC1889"/>
    <w:rsid w:val="00DC1CA3"/>
    <w:rsid w:val="00DC21DF"/>
    <w:rsid w:val="00DC2225"/>
    <w:rsid w:val="00DC225A"/>
    <w:rsid w:val="00DC28CD"/>
    <w:rsid w:val="00DC2A33"/>
    <w:rsid w:val="00DC3214"/>
    <w:rsid w:val="00DC3579"/>
    <w:rsid w:val="00DC3E0F"/>
    <w:rsid w:val="00DC43AE"/>
    <w:rsid w:val="00DC466F"/>
    <w:rsid w:val="00DC4841"/>
    <w:rsid w:val="00DC4912"/>
    <w:rsid w:val="00DC51EE"/>
    <w:rsid w:val="00DC5533"/>
    <w:rsid w:val="00DC5770"/>
    <w:rsid w:val="00DC59D7"/>
    <w:rsid w:val="00DC5A1C"/>
    <w:rsid w:val="00DC5EDB"/>
    <w:rsid w:val="00DC63DA"/>
    <w:rsid w:val="00DC6671"/>
    <w:rsid w:val="00DC6981"/>
    <w:rsid w:val="00DC6BB0"/>
    <w:rsid w:val="00DC6E13"/>
    <w:rsid w:val="00DC6E1B"/>
    <w:rsid w:val="00DC7090"/>
    <w:rsid w:val="00DC7EBE"/>
    <w:rsid w:val="00DD12EF"/>
    <w:rsid w:val="00DD158F"/>
    <w:rsid w:val="00DD16FB"/>
    <w:rsid w:val="00DD235A"/>
    <w:rsid w:val="00DD2381"/>
    <w:rsid w:val="00DD249D"/>
    <w:rsid w:val="00DD2B1D"/>
    <w:rsid w:val="00DD2D89"/>
    <w:rsid w:val="00DD3108"/>
    <w:rsid w:val="00DD3821"/>
    <w:rsid w:val="00DD391B"/>
    <w:rsid w:val="00DD3A61"/>
    <w:rsid w:val="00DD45D3"/>
    <w:rsid w:val="00DD48F3"/>
    <w:rsid w:val="00DD4E0C"/>
    <w:rsid w:val="00DD5597"/>
    <w:rsid w:val="00DD5A2A"/>
    <w:rsid w:val="00DD61CE"/>
    <w:rsid w:val="00DD61EE"/>
    <w:rsid w:val="00DD662B"/>
    <w:rsid w:val="00DD6698"/>
    <w:rsid w:val="00DD6C92"/>
    <w:rsid w:val="00DE01AB"/>
    <w:rsid w:val="00DE0B85"/>
    <w:rsid w:val="00DE12BD"/>
    <w:rsid w:val="00DE1532"/>
    <w:rsid w:val="00DE179B"/>
    <w:rsid w:val="00DE1840"/>
    <w:rsid w:val="00DE1EEE"/>
    <w:rsid w:val="00DE201E"/>
    <w:rsid w:val="00DE292D"/>
    <w:rsid w:val="00DE2AA3"/>
    <w:rsid w:val="00DE30D1"/>
    <w:rsid w:val="00DE317E"/>
    <w:rsid w:val="00DE3B74"/>
    <w:rsid w:val="00DE3C59"/>
    <w:rsid w:val="00DE40F7"/>
    <w:rsid w:val="00DE432B"/>
    <w:rsid w:val="00DE47DF"/>
    <w:rsid w:val="00DE4D21"/>
    <w:rsid w:val="00DE53D4"/>
    <w:rsid w:val="00DE5661"/>
    <w:rsid w:val="00DE5BB0"/>
    <w:rsid w:val="00DE5EA6"/>
    <w:rsid w:val="00DE5F41"/>
    <w:rsid w:val="00DE61FB"/>
    <w:rsid w:val="00DE66BE"/>
    <w:rsid w:val="00DE6B6A"/>
    <w:rsid w:val="00DE6C81"/>
    <w:rsid w:val="00DE6D2D"/>
    <w:rsid w:val="00DE7185"/>
    <w:rsid w:val="00DE730F"/>
    <w:rsid w:val="00DE731D"/>
    <w:rsid w:val="00DE7A1D"/>
    <w:rsid w:val="00DF0A8D"/>
    <w:rsid w:val="00DF0E97"/>
    <w:rsid w:val="00DF11F0"/>
    <w:rsid w:val="00DF13DA"/>
    <w:rsid w:val="00DF1795"/>
    <w:rsid w:val="00DF1956"/>
    <w:rsid w:val="00DF1AD2"/>
    <w:rsid w:val="00DF1D62"/>
    <w:rsid w:val="00DF2170"/>
    <w:rsid w:val="00DF2F5E"/>
    <w:rsid w:val="00DF2FC2"/>
    <w:rsid w:val="00DF381B"/>
    <w:rsid w:val="00DF3D62"/>
    <w:rsid w:val="00DF572E"/>
    <w:rsid w:val="00DF596A"/>
    <w:rsid w:val="00DF60FE"/>
    <w:rsid w:val="00DF6559"/>
    <w:rsid w:val="00DF6DA6"/>
    <w:rsid w:val="00DF708D"/>
    <w:rsid w:val="00DF7EB8"/>
    <w:rsid w:val="00E0031E"/>
    <w:rsid w:val="00E00FD5"/>
    <w:rsid w:val="00E01956"/>
    <w:rsid w:val="00E02047"/>
    <w:rsid w:val="00E023E5"/>
    <w:rsid w:val="00E02837"/>
    <w:rsid w:val="00E03A7E"/>
    <w:rsid w:val="00E0443C"/>
    <w:rsid w:val="00E04B4F"/>
    <w:rsid w:val="00E052EF"/>
    <w:rsid w:val="00E05F33"/>
    <w:rsid w:val="00E06FD6"/>
    <w:rsid w:val="00E074C1"/>
    <w:rsid w:val="00E07B79"/>
    <w:rsid w:val="00E07CDC"/>
    <w:rsid w:val="00E07DEE"/>
    <w:rsid w:val="00E1006A"/>
    <w:rsid w:val="00E105B9"/>
    <w:rsid w:val="00E1079E"/>
    <w:rsid w:val="00E10F6A"/>
    <w:rsid w:val="00E11284"/>
    <w:rsid w:val="00E112FA"/>
    <w:rsid w:val="00E11F4F"/>
    <w:rsid w:val="00E12217"/>
    <w:rsid w:val="00E12CED"/>
    <w:rsid w:val="00E1306C"/>
    <w:rsid w:val="00E1355D"/>
    <w:rsid w:val="00E13D2C"/>
    <w:rsid w:val="00E13DAD"/>
    <w:rsid w:val="00E13EE3"/>
    <w:rsid w:val="00E148CD"/>
    <w:rsid w:val="00E14E22"/>
    <w:rsid w:val="00E14FF5"/>
    <w:rsid w:val="00E151E5"/>
    <w:rsid w:val="00E15608"/>
    <w:rsid w:val="00E15713"/>
    <w:rsid w:val="00E15E72"/>
    <w:rsid w:val="00E16102"/>
    <w:rsid w:val="00E16395"/>
    <w:rsid w:val="00E16682"/>
    <w:rsid w:val="00E166F1"/>
    <w:rsid w:val="00E1678A"/>
    <w:rsid w:val="00E173E1"/>
    <w:rsid w:val="00E174AB"/>
    <w:rsid w:val="00E17549"/>
    <w:rsid w:val="00E17BAE"/>
    <w:rsid w:val="00E17E85"/>
    <w:rsid w:val="00E17E99"/>
    <w:rsid w:val="00E17F83"/>
    <w:rsid w:val="00E2002A"/>
    <w:rsid w:val="00E200D8"/>
    <w:rsid w:val="00E2055A"/>
    <w:rsid w:val="00E208B3"/>
    <w:rsid w:val="00E20ACE"/>
    <w:rsid w:val="00E21171"/>
    <w:rsid w:val="00E21689"/>
    <w:rsid w:val="00E216B3"/>
    <w:rsid w:val="00E2185D"/>
    <w:rsid w:val="00E21F2D"/>
    <w:rsid w:val="00E226D2"/>
    <w:rsid w:val="00E22A26"/>
    <w:rsid w:val="00E22DD9"/>
    <w:rsid w:val="00E2336E"/>
    <w:rsid w:val="00E23655"/>
    <w:rsid w:val="00E23AB9"/>
    <w:rsid w:val="00E23AC4"/>
    <w:rsid w:val="00E23ED2"/>
    <w:rsid w:val="00E243A1"/>
    <w:rsid w:val="00E256F7"/>
    <w:rsid w:val="00E25995"/>
    <w:rsid w:val="00E25D57"/>
    <w:rsid w:val="00E26257"/>
    <w:rsid w:val="00E264AD"/>
    <w:rsid w:val="00E26500"/>
    <w:rsid w:val="00E2693B"/>
    <w:rsid w:val="00E27074"/>
    <w:rsid w:val="00E27C1D"/>
    <w:rsid w:val="00E27E1C"/>
    <w:rsid w:val="00E300F2"/>
    <w:rsid w:val="00E30E54"/>
    <w:rsid w:val="00E318A4"/>
    <w:rsid w:val="00E31966"/>
    <w:rsid w:val="00E3203D"/>
    <w:rsid w:val="00E32AE4"/>
    <w:rsid w:val="00E32D6A"/>
    <w:rsid w:val="00E33396"/>
    <w:rsid w:val="00E335C5"/>
    <w:rsid w:val="00E33D24"/>
    <w:rsid w:val="00E33E8E"/>
    <w:rsid w:val="00E33FF9"/>
    <w:rsid w:val="00E34706"/>
    <w:rsid w:val="00E34BD9"/>
    <w:rsid w:val="00E34ED4"/>
    <w:rsid w:val="00E35580"/>
    <w:rsid w:val="00E35ED5"/>
    <w:rsid w:val="00E36636"/>
    <w:rsid w:val="00E36A72"/>
    <w:rsid w:val="00E36DD5"/>
    <w:rsid w:val="00E3728C"/>
    <w:rsid w:val="00E3751A"/>
    <w:rsid w:val="00E377A6"/>
    <w:rsid w:val="00E377E5"/>
    <w:rsid w:val="00E379E3"/>
    <w:rsid w:val="00E37A6F"/>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5DCF"/>
    <w:rsid w:val="00E463F2"/>
    <w:rsid w:val="00E465AD"/>
    <w:rsid w:val="00E46852"/>
    <w:rsid w:val="00E46AB1"/>
    <w:rsid w:val="00E479FF"/>
    <w:rsid w:val="00E510B2"/>
    <w:rsid w:val="00E51392"/>
    <w:rsid w:val="00E51512"/>
    <w:rsid w:val="00E515B1"/>
    <w:rsid w:val="00E51662"/>
    <w:rsid w:val="00E518CE"/>
    <w:rsid w:val="00E5269A"/>
    <w:rsid w:val="00E526C1"/>
    <w:rsid w:val="00E528E6"/>
    <w:rsid w:val="00E535D1"/>
    <w:rsid w:val="00E536FC"/>
    <w:rsid w:val="00E53AA6"/>
    <w:rsid w:val="00E53C6C"/>
    <w:rsid w:val="00E53CB2"/>
    <w:rsid w:val="00E53D6A"/>
    <w:rsid w:val="00E54898"/>
    <w:rsid w:val="00E55357"/>
    <w:rsid w:val="00E55558"/>
    <w:rsid w:val="00E55BB8"/>
    <w:rsid w:val="00E56344"/>
    <w:rsid w:val="00E56C07"/>
    <w:rsid w:val="00E57E87"/>
    <w:rsid w:val="00E60138"/>
    <w:rsid w:val="00E60643"/>
    <w:rsid w:val="00E60DE1"/>
    <w:rsid w:val="00E61076"/>
    <w:rsid w:val="00E6119A"/>
    <w:rsid w:val="00E61347"/>
    <w:rsid w:val="00E6137B"/>
    <w:rsid w:val="00E61697"/>
    <w:rsid w:val="00E61812"/>
    <w:rsid w:val="00E61A51"/>
    <w:rsid w:val="00E62CC5"/>
    <w:rsid w:val="00E62CF0"/>
    <w:rsid w:val="00E62E5D"/>
    <w:rsid w:val="00E6450D"/>
    <w:rsid w:val="00E645F5"/>
    <w:rsid w:val="00E64E92"/>
    <w:rsid w:val="00E64F58"/>
    <w:rsid w:val="00E65073"/>
    <w:rsid w:val="00E65631"/>
    <w:rsid w:val="00E659FF"/>
    <w:rsid w:val="00E65A9B"/>
    <w:rsid w:val="00E65AD7"/>
    <w:rsid w:val="00E65E8C"/>
    <w:rsid w:val="00E66152"/>
    <w:rsid w:val="00E66800"/>
    <w:rsid w:val="00E66D78"/>
    <w:rsid w:val="00E673C1"/>
    <w:rsid w:val="00E67C5C"/>
    <w:rsid w:val="00E67E55"/>
    <w:rsid w:val="00E70264"/>
    <w:rsid w:val="00E70504"/>
    <w:rsid w:val="00E70E30"/>
    <w:rsid w:val="00E71198"/>
    <w:rsid w:val="00E71D9F"/>
    <w:rsid w:val="00E71E4F"/>
    <w:rsid w:val="00E723B5"/>
    <w:rsid w:val="00E72486"/>
    <w:rsid w:val="00E724EF"/>
    <w:rsid w:val="00E7264E"/>
    <w:rsid w:val="00E72651"/>
    <w:rsid w:val="00E72CC1"/>
    <w:rsid w:val="00E72E97"/>
    <w:rsid w:val="00E734F5"/>
    <w:rsid w:val="00E735A7"/>
    <w:rsid w:val="00E73957"/>
    <w:rsid w:val="00E73C90"/>
    <w:rsid w:val="00E73D3A"/>
    <w:rsid w:val="00E7412C"/>
    <w:rsid w:val="00E743A1"/>
    <w:rsid w:val="00E74737"/>
    <w:rsid w:val="00E74AA1"/>
    <w:rsid w:val="00E74BC5"/>
    <w:rsid w:val="00E74F05"/>
    <w:rsid w:val="00E7518B"/>
    <w:rsid w:val="00E753CE"/>
    <w:rsid w:val="00E7593F"/>
    <w:rsid w:val="00E76497"/>
    <w:rsid w:val="00E76C33"/>
    <w:rsid w:val="00E76C59"/>
    <w:rsid w:val="00E80081"/>
    <w:rsid w:val="00E8011B"/>
    <w:rsid w:val="00E801FE"/>
    <w:rsid w:val="00E80768"/>
    <w:rsid w:val="00E80E1E"/>
    <w:rsid w:val="00E81D47"/>
    <w:rsid w:val="00E82135"/>
    <w:rsid w:val="00E82258"/>
    <w:rsid w:val="00E82862"/>
    <w:rsid w:val="00E82C77"/>
    <w:rsid w:val="00E82CA0"/>
    <w:rsid w:val="00E82E17"/>
    <w:rsid w:val="00E845DF"/>
    <w:rsid w:val="00E84AD4"/>
    <w:rsid w:val="00E8534F"/>
    <w:rsid w:val="00E854EA"/>
    <w:rsid w:val="00E85EC9"/>
    <w:rsid w:val="00E86A30"/>
    <w:rsid w:val="00E86B37"/>
    <w:rsid w:val="00E86B41"/>
    <w:rsid w:val="00E86BAE"/>
    <w:rsid w:val="00E876A3"/>
    <w:rsid w:val="00E87DC5"/>
    <w:rsid w:val="00E903A5"/>
    <w:rsid w:val="00E90A19"/>
    <w:rsid w:val="00E90D69"/>
    <w:rsid w:val="00E9106B"/>
    <w:rsid w:val="00E91460"/>
    <w:rsid w:val="00E915F1"/>
    <w:rsid w:val="00E91C42"/>
    <w:rsid w:val="00E92341"/>
    <w:rsid w:val="00E92A08"/>
    <w:rsid w:val="00E92D87"/>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0942"/>
    <w:rsid w:val="00EA1514"/>
    <w:rsid w:val="00EA16E1"/>
    <w:rsid w:val="00EA1767"/>
    <w:rsid w:val="00EA1F8E"/>
    <w:rsid w:val="00EA210F"/>
    <w:rsid w:val="00EA2360"/>
    <w:rsid w:val="00EA272B"/>
    <w:rsid w:val="00EA2747"/>
    <w:rsid w:val="00EA2AFA"/>
    <w:rsid w:val="00EA2F02"/>
    <w:rsid w:val="00EA2F5D"/>
    <w:rsid w:val="00EA301E"/>
    <w:rsid w:val="00EA3186"/>
    <w:rsid w:val="00EA35DD"/>
    <w:rsid w:val="00EA391D"/>
    <w:rsid w:val="00EA3BA1"/>
    <w:rsid w:val="00EA4356"/>
    <w:rsid w:val="00EA449C"/>
    <w:rsid w:val="00EA4BF4"/>
    <w:rsid w:val="00EA4E4F"/>
    <w:rsid w:val="00EA4F1E"/>
    <w:rsid w:val="00EA4F7D"/>
    <w:rsid w:val="00EA5053"/>
    <w:rsid w:val="00EA5F9C"/>
    <w:rsid w:val="00EA633B"/>
    <w:rsid w:val="00EA642F"/>
    <w:rsid w:val="00EA659C"/>
    <w:rsid w:val="00EA6A7E"/>
    <w:rsid w:val="00EA7206"/>
    <w:rsid w:val="00EB0A68"/>
    <w:rsid w:val="00EB0AA7"/>
    <w:rsid w:val="00EB0E6A"/>
    <w:rsid w:val="00EB0FE6"/>
    <w:rsid w:val="00EB14F7"/>
    <w:rsid w:val="00EB16EB"/>
    <w:rsid w:val="00EB182C"/>
    <w:rsid w:val="00EB19D9"/>
    <w:rsid w:val="00EB1B6F"/>
    <w:rsid w:val="00EB2287"/>
    <w:rsid w:val="00EB269D"/>
    <w:rsid w:val="00EB2A08"/>
    <w:rsid w:val="00EB30E8"/>
    <w:rsid w:val="00EB344E"/>
    <w:rsid w:val="00EB3554"/>
    <w:rsid w:val="00EB41F5"/>
    <w:rsid w:val="00EB457D"/>
    <w:rsid w:val="00EB45D7"/>
    <w:rsid w:val="00EB47B3"/>
    <w:rsid w:val="00EB4926"/>
    <w:rsid w:val="00EB4B58"/>
    <w:rsid w:val="00EB4C46"/>
    <w:rsid w:val="00EB4E5F"/>
    <w:rsid w:val="00EB5197"/>
    <w:rsid w:val="00EB545C"/>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9EC"/>
    <w:rsid w:val="00EC3E18"/>
    <w:rsid w:val="00EC3FA5"/>
    <w:rsid w:val="00EC4396"/>
    <w:rsid w:val="00EC4789"/>
    <w:rsid w:val="00EC51BC"/>
    <w:rsid w:val="00EC552D"/>
    <w:rsid w:val="00EC5B93"/>
    <w:rsid w:val="00EC5D93"/>
    <w:rsid w:val="00EC620C"/>
    <w:rsid w:val="00EC70AF"/>
    <w:rsid w:val="00EC760B"/>
    <w:rsid w:val="00EC774B"/>
    <w:rsid w:val="00EC7D82"/>
    <w:rsid w:val="00ED0055"/>
    <w:rsid w:val="00ED0129"/>
    <w:rsid w:val="00ED014B"/>
    <w:rsid w:val="00ED0A61"/>
    <w:rsid w:val="00ED0F15"/>
    <w:rsid w:val="00ED1112"/>
    <w:rsid w:val="00ED13EB"/>
    <w:rsid w:val="00ED1462"/>
    <w:rsid w:val="00ED14A1"/>
    <w:rsid w:val="00ED1796"/>
    <w:rsid w:val="00ED17FA"/>
    <w:rsid w:val="00ED1856"/>
    <w:rsid w:val="00ED1B45"/>
    <w:rsid w:val="00ED24B6"/>
    <w:rsid w:val="00ED25D2"/>
    <w:rsid w:val="00ED2D45"/>
    <w:rsid w:val="00ED2EB1"/>
    <w:rsid w:val="00ED2F96"/>
    <w:rsid w:val="00ED35C0"/>
    <w:rsid w:val="00ED3F38"/>
    <w:rsid w:val="00ED4124"/>
    <w:rsid w:val="00ED42EC"/>
    <w:rsid w:val="00ED4623"/>
    <w:rsid w:val="00ED48F8"/>
    <w:rsid w:val="00ED49E2"/>
    <w:rsid w:val="00ED5030"/>
    <w:rsid w:val="00ED547D"/>
    <w:rsid w:val="00ED596C"/>
    <w:rsid w:val="00ED5ACF"/>
    <w:rsid w:val="00ED76B2"/>
    <w:rsid w:val="00EE0174"/>
    <w:rsid w:val="00EE01D1"/>
    <w:rsid w:val="00EE0582"/>
    <w:rsid w:val="00EE083C"/>
    <w:rsid w:val="00EE0CFF"/>
    <w:rsid w:val="00EE0D6A"/>
    <w:rsid w:val="00EE12E9"/>
    <w:rsid w:val="00EE13A7"/>
    <w:rsid w:val="00EE2B55"/>
    <w:rsid w:val="00EE3341"/>
    <w:rsid w:val="00EE3445"/>
    <w:rsid w:val="00EE3FD2"/>
    <w:rsid w:val="00EE4436"/>
    <w:rsid w:val="00EE489E"/>
    <w:rsid w:val="00EE4ACE"/>
    <w:rsid w:val="00EE4BBE"/>
    <w:rsid w:val="00EE4F1D"/>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0E72"/>
    <w:rsid w:val="00EF138D"/>
    <w:rsid w:val="00EF1821"/>
    <w:rsid w:val="00EF1D2F"/>
    <w:rsid w:val="00EF1EA9"/>
    <w:rsid w:val="00EF20C3"/>
    <w:rsid w:val="00EF231B"/>
    <w:rsid w:val="00EF2449"/>
    <w:rsid w:val="00EF2467"/>
    <w:rsid w:val="00EF256C"/>
    <w:rsid w:val="00EF2D95"/>
    <w:rsid w:val="00EF32B1"/>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6CF4"/>
    <w:rsid w:val="00EF7102"/>
    <w:rsid w:val="00F0076C"/>
    <w:rsid w:val="00F00922"/>
    <w:rsid w:val="00F00AB8"/>
    <w:rsid w:val="00F0102C"/>
    <w:rsid w:val="00F0106B"/>
    <w:rsid w:val="00F0137B"/>
    <w:rsid w:val="00F0139C"/>
    <w:rsid w:val="00F01591"/>
    <w:rsid w:val="00F02004"/>
    <w:rsid w:val="00F020E1"/>
    <w:rsid w:val="00F0221D"/>
    <w:rsid w:val="00F02DE5"/>
    <w:rsid w:val="00F0324F"/>
    <w:rsid w:val="00F03874"/>
    <w:rsid w:val="00F03AA2"/>
    <w:rsid w:val="00F03F05"/>
    <w:rsid w:val="00F043F9"/>
    <w:rsid w:val="00F04E02"/>
    <w:rsid w:val="00F05558"/>
    <w:rsid w:val="00F0595E"/>
    <w:rsid w:val="00F05A7B"/>
    <w:rsid w:val="00F05E0E"/>
    <w:rsid w:val="00F05EED"/>
    <w:rsid w:val="00F06454"/>
    <w:rsid w:val="00F06554"/>
    <w:rsid w:val="00F06671"/>
    <w:rsid w:val="00F069A7"/>
    <w:rsid w:val="00F06CB2"/>
    <w:rsid w:val="00F06E72"/>
    <w:rsid w:val="00F07C53"/>
    <w:rsid w:val="00F07C8A"/>
    <w:rsid w:val="00F07D8B"/>
    <w:rsid w:val="00F104D0"/>
    <w:rsid w:val="00F10840"/>
    <w:rsid w:val="00F1089C"/>
    <w:rsid w:val="00F108B8"/>
    <w:rsid w:val="00F111FB"/>
    <w:rsid w:val="00F116E1"/>
    <w:rsid w:val="00F11E4F"/>
    <w:rsid w:val="00F1272B"/>
    <w:rsid w:val="00F13033"/>
    <w:rsid w:val="00F13232"/>
    <w:rsid w:val="00F132E7"/>
    <w:rsid w:val="00F13A85"/>
    <w:rsid w:val="00F13C6A"/>
    <w:rsid w:val="00F13C93"/>
    <w:rsid w:val="00F14212"/>
    <w:rsid w:val="00F14A1F"/>
    <w:rsid w:val="00F14CC0"/>
    <w:rsid w:val="00F14D95"/>
    <w:rsid w:val="00F14FF8"/>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1F"/>
    <w:rsid w:val="00F21AE7"/>
    <w:rsid w:val="00F21B8E"/>
    <w:rsid w:val="00F21CAF"/>
    <w:rsid w:val="00F221B6"/>
    <w:rsid w:val="00F223BD"/>
    <w:rsid w:val="00F223EA"/>
    <w:rsid w:val="00F22E16"/>
    <w:rsid w:val="00F22EE2"/>
    <w:rsid w:val="00F2310C"/>
    <w:rsid w:val="00F232DA"/>
    <w:rsid w:val="00F2369D"/>
    <w:rsid w:val="00F243E0"/>
    <w:rsid w:val="00F24874"/>
    <w:rsid w:val="00F24980"/>
    <w:rsid w:val="00F24B20"/>
    <w:rsid w:val="00F24EF6"/>
    <w:rsid w:val="00F25C36"/>
    <w:rsid w:val="00F26145"/>
    <w:rsid w:val="00F26345"/>
    <w:rsid w:val="00F2634C"/>
    <w:rsid w:val="00F26D6D"/>
    <w:rsid w:val="00F27B88"/>
    <w:rsid w:val="00F3008C"/>
    <w:rsid w:val="00F30616"/>
    <w:rsid w:val="00F30C57"/>
    <w:rsid w:val="00F319F9"/>
    <w:rsid w:val="00F32AF9"/>
    <w:rsid w:val="00F32E1A"/>
    <w:rsid w:val="00F336C3"/>
    <w:rsid w:val="00F33B96"/>
    <w:rsid w:val="00F340C8"/>
    <w:rsid w:val="00F346B1"/>
    <w:rsid w:val="00F3484E"/>
    <w:rsid w:val="00F34B77"/>
    <w:rsid w:val="00F34E84"/>
    <w:rsid w:val="00F34FB3"/>
    <w:rsid w:val="00F35BF2"/>
    <w:rsid w:val="00F36323"/>
    <w:rsid w:val="00F36F16"/>
    <w:rsid w:val="00F3744C"/>
    <w:rsid w:val="00F37507"/>
    <w:rsid w:val="00F37763"/>
    <w:rsid w:val="00F40042"/>
    <w:rsid w:val="00F40EEA"/>
    <w:rsid w:val="00F415F2"/>
    <w:rsid w:val="00F42037"/>
    <w:rsid w:val="00F421B7"/>
    <w:rsid w:val="00F423F6"/>
    <w:rsid w:val="00F42415"/>
    <w:rsid w:val="00F424D3"/>
    <w:rsid w:val="00F4284C"/>
    <w:rsid w:val="00F43AB8"/>
    <w:rsid w:val="00F43E48"/>
    <w:rsid w:val="00F443B0"/>
    <w:rsid w:val="00F444BC"/>
    <w:rsid w:val="00F444E7"/>
    <w:rsid w:val="00F44725"/>
    <w:rsid w:val="00F447EA"/>
    <w:rsid w:val="00F44943"/>
    <w:rsid w:val="00F453DF"/>
    <w:rsid w:val="00F456E0"/>
    <w:rsid w:val="00F4605B"/>
    <w:rsid w:val="00F4737E"/>
    <w:rsid w:val="00F47D5F"/>
    <w:rsid w:val="00F47E5F"/>
    <w:rsid w:val="00F505EF"/>
    <w:rsid w:val="00F50623"/>
    <w:rsid w:val="00F507D7"/>
    <w:rsid w:val="00F50CE9"/>
    <w:rsid w:val="00F511EE"/>
    <w:rsid w:val="00F515B1"/>
    <w:rsid w:val="00F51C57"/>
    <w:rsid w:val="00F51D28"/>
    <w:rsid w:val="00F51E4D"/>
    <w:rsid w:val="00F52365"/>
    <w:rsid w:val="00F52571"/>
    <w:rsid w:val="00F533F9"/>
    <w:rsid w:val="00F539AC"/>
    <w:rsid w:val="00F53D94"/>
    <w:rsid w:val="00F5420D"/>
    <w:rsid w:val="00F54768"/>
    <w:rsid w:val="00F54ADC"/>
    <w:rsid w:val="00F553E8"/>
    <w:rsid w:val="00F55AA3"/>
    <w:rsid w:val="00F55DFC"/>
    <w:rsid w:val="00F55FA9"/>
    <w:rsid w:val="00F56C88"/>
    <w:rsid w:val="00F56EAC"/>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4C64"/>
    <w:rsid w:val="00F64D38"/>
    <w:rsid w:val="00F6557B"/>
    <w:rsid w:val="00F6574E"/>
    <w:rsid w:val="00F65F2E"/>
    <w:rsid w:val="00F666B5"/>
    <w:rsid w:val="00F66951"/>
    <w:rsid w:val="00F67275"/>
    <w:rsid w:val="00F672C3"/>
    <w:rsid w:val="00F67EF9"/>
    <w:rsid w:val="00F70853"/>
    <w:rsid w:val="00F713E2"/>
    <w:rsid w:val="00F7187B"/>
    <w:rsid w:val="00F718A4"/>
    <w:rsid w:val="00F71C8F"/>
    <w:rsid w:val="00F7254C"/>
    <w:rsid w:val="00F72698"/>
    <w:rsid w:val="00F728AA"/>
    <w:rsid w:val="00F72AD3"/>
    <w:rsid w:val="00F72B69"/>
    <w:rsid w:val="00F72C8A"/>
    <w:rsid w:val="00F72CA8"/>
    <w:rsid w:val="00F72D90"/>
    <w:rsid w:val="00F7366E"/>
    <w:rsid w:val="00F74153"/>
    <w:rsid w:val="00F741FA"/>
    <w:rsid w:val="00F7420B"/>
    <w:rsid w:val="00F7430B"/>
    <w:rsid w:val="00F745D9"/>
    <w:rsid w:val="00F74BA5"/>
    <w:rsid w:val="00F7523E"/>
    <w:rsid w:val="00F759D7"/>
    <w:rsid w:val="00F7609A"/>
    <w:rsid w:val="00F7667C"/>
    <w:rsid w:val="00F76924"/>
    <w:rsid w:val="00F76FD6"/>
    <w:rsid w:val="00F77089"/>
    <w:rsid w:val="00F77293"/>
    <w:rsid w:val="00F77C33"/>
    <w:rsid w:val="00F77D71"/>
    <w:rsid w:val="00F808F0"/>
    <w:rsid w:val="00F80927"/>
    <w:rsid w:val="00F81011"/>
    <w:rsid w:val="00F81987"/>
    <w:rsid w:val="00F819E1"/>
    <w:rsid w:val="00F822A0"/>
    <w:rsid w:val="00F827FE"/>
    <w:rsid w:val="00F82D33"/>
    <w:rsid w:val="00F83347"/>
    <w:rsid w:val="00F83A8B"/>
    <w:rsid w:val="00F83B2E"/>
    <w:rsid w:val="00F83CF9"/>
    <w:rsid w:val="00F84099"/>
    <w:rsid w:val="00F8412E"/>
    <w:rsid w:val="00F843F7"/>
    <w:rsid w:val="00F8476D"/>
    <w:rsid w:val="00F8484E"/>
    <w:rsid w:val="00F848B5"/>
    <w:rsid w:val="00F84E68"/>
    <w:rsid w:val="00F84F73"/>
    <w:rsid w:val="00F85501"/>
    <w:rsid w:val="00F856DE"/>
    <w:rsid w:val="00F85851"/>
    <w:rsid w:val="00F8636A"/>
    <w:rsid w:val="00F86705"/>
    <w:rsid w:val="00F86769"/>
    <w:rsid w:val="00F8676D"/>
    <w:rsid w:val="00F86A1E"/>
    <w:rsid w:val="00F86C16"/>
    <w:rsid w:val="00F8798B"/>
    <w:rsid w:val="00F9034D"/>
    <w:rsid w:val="00F90624"/>
    <w:rsid w:val="00F907AF"/>
    <w:rsid w:val="00F90C72"/>
    <w:rsid w:val="00F90E09"/>
    <w:rsid w:val="00F91052"/>
    <w:rsid w:val="00F91C48"/>
    <w:rsid w:val="00F91CBC"/>
    <w:rsid w:val="00F91E36"/>
    <w:rsid w:val="00F922ED"/>
    <w:rsid w:val="00F93A0A"/>
    <w:rsid w:val="00F941F2"/>
    <w:rsid w:val="00F943F8"/>
    <w:rsid w:val="00F949E9"/>
    <w:rsid w:val="00F94A71"/>
    <w:rsid w:val="00F94CCA"/>
    <w:rsid w:val="00F9535C"/>
    <w:rsid w:val="00F95780"/>
    <w:rsid w:val="00F95EFB"/>
    <w:rsid w:val="00F9624E"/>
    <w:rsid w:val="00F96419"/>
    <w:rsid w:val="00F96923"/>
    <w:rsid w:val="00F96E26"/>
    <w:rsid w:val="00F970DB"/>
    <w:rsid w:val="00F973E4"/>
    <w:rsid w:val="00F9766C"/>
    <w:rsid w:val="00FA008C"/>
    <w:rsid w:val="00FA0431"/>
    <w:rsid w:val="00FA0577"/>
    <w:rsid w:val="00FA086C"/>
    <w:rsid w:val="00FA0870"/>
    <w:rsid w:val="00FA0FFB"/>
    <w:rsid w:val="00FA1441"/>
    <w:rsid w:val="00FA1662"/>
    <w:rsid w:val="00FA1835"/>
    <w:rsid w:val="00FA203F"/>
    <w:rsid w:val="00FA2099"/>
    <w:rsid w:val="00FA2393"/>
    <w:rsid w:val="00FA3207"/>
    <w:rsid w:val="00FA38A1"/>
    <w:rsid w:val="00FA3C01"/>
    <w:rsid w:val="00FA3F41"/>
    <w:rsid w:val="00FA45F7"/>
    <w:rsid w:val="00FA4A3B"/>
    <w:rsid w:val="00FA55F6"/>
    <w:rsid w:val="00FA580B"/>
    <w:rsid w:val="00FA5DE4"/>
    <w:rsid w:val="00FA62C1"/>
    <w:rsid w:val="00FA6B17"/>
    <w:rsid w:val="00FA7860"/>
    <w:rsid w:val="00FB0060"/>
    <w:rsid w:val="00FB012F"/>
    <w:rsid w:val="00FB0A08"/>
    <w:rsid w:val="00FB0AD3"/>
    <w:rsid w:val="00FB0D58"/>
    <w:rsid w:val="00FB0E2A"/>
    <w:rsid w:val="00FB185F"/>
    <w:rsid w:val="00FB2009"/>
    <w:rsid w:val="00FB21EE"/>
    <w:rsid w:val="00FB2506"/>
    <w:rsid w:val="00FB2927"/>
    <w:rsid w:val="00FB306B"/>
    <w:rsid w:val="00FB3075"/>
    <w:rsid w:val="00FB3784"/>
    <w:rsid w:val="00FB3916"/>
    <w:rsid w:val="00FB3D56"/>
    <w:rsid w:val="00FB41C6"/>
    <w:rsid w:val="00FB50C2"/>
    <w:rsid w:val="00FB529D"/>
    <w:rsid w:val="00FB56C5"/>
    <w:rsid w:val="00FB57EF"/>
    <w:rsid w:val="00FB59E5"/>
    <w:rsid w:val="00FB5E78"/>
    <w:rsid w:val="00FB5FB0"/>
    <w:rsid w:val="00FB65E6"/>
    <w:rsid w:val="00FB69A8"/>
    <w:rsid w:val="00FB6F0E"/>
    <w:rsid w:val="00FB7F29"/>
    <w:rsid w:val="00FC0690"/>
    <w:rsid w:val="00FC06BF"/>
    <w:rsid w:val="00FC0AE4"/>
    <w:rsid w:val="00FC0E21"/>
    <w:rsid w:val="00FC0E79"/>
    <w:rsid w:val="00FC1694"/>
    <w:rsid w:val="00FC1CF2"/>
    <w:rsid w:val="00FC2124"/>
    <w:rsid w:val="00FC2576"/>
    <w:rsid w:val="00FC2A8A"/>
    <w:rsid w:val="00FC2E45"/>
    <w:rsid w:val="00FC351E"/>
    <w:rsid w:val="00FC35DE"/>
    <w:rsid w:val="00FC3BE7"/>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6B3"/>
    <w:rsid w:val="00FD0BFB"/>
    <w:rsid w:val="00FD0F61"/>
    <w:rsid w:val="00FD1035"/>
    <w:rsid w:val="00FD1280"/>
    <w:rsid w:val="00FD143C"/>
    <w:rsid w:val="00FD15D0"/>
    <w:rsid w:val="00FD1946"/>
    <w:rsid w:val="00FD205A"/>
    <w:rsid w:val="00FD2557"/>
    <w:rsid w:val="00FD2965"/>
    <w:rsid w:val="00FD2A64"/>
    <w:rsid w:val="00FD2AD2"/>
    <w:rsid w:val="00FD2CC3"/>
    <w:rsid w:val="00FD3D61"/>
    <w:rsid w:val="00FD436D"/>
    <w:rsid w:val="00FD491D"/>
    <w:rsid w:val="00FD49DB"/>
    <w:rsid w:val="00FD5062"/>
    <w:rsid w:val="00FD5622"/>
    <w:rsid w:val="00FD6669"/>
    <w:rsid w:val="00FD6BDA"/>
    <w:rsid w:val="00FD7638"/>
    <w:rsid w:val="00FD764D"/>
    <w:rsid w:val="00FD7B35"/>
    <w:rsid w:val="00FD7C6C"/>
    <w:rsid w:val="00FD7CDC"/>
    <w:rsid w:val="00FD7F20"/>
    <w:rsid w:val="00FE01A6"/>
    <w:rsid w:val="00FE02F8"/>
    <w:rsid w:val="00FE0BA6"/>
    <w:rsid w:val="00FE1445"/>
    <w:rsid w:val="00FE153E"/>
    <w:rsid w:val="00FE18EF"/>
    <w:rsid w:val="00FE1AA0"/>
    <w:rsid w:val="00FE1CE2"/>
    <w:rsid w:val="00FE1D1B"/>
    <w:rsid w:val="00FE1DFC"/>
    <w:rsid w:val="00FE235B"/>
    <w:rsid w:val="00FE27FE"/>
    <w:rsid w:val="00FE2852"/>
    <w:rsid w:val="00FE2F5F"/>
    <w:rsid w:val="00FE393B"/>
    <w:rsid w:val="00FE3E04"/>
    <w:rsid w:val="00FE3FC5"/>
    <w:rsid w:val="00FE4037"/>
    <w:rsid w:val="00FE4608"/>
    <w:rsid w:val="00FE465A"/>
    <w:rsid w:val="00FE4826"/>
    <w:rsid w:val="00FE559F"/>
    <w:rsid w:val="00FE5DD2"/>
    <w:rsid w:val="00FE5F15"/>
    <w:rsid w:val="00FE66DF"/>
    <w:rsid w:val="00FE6845"/>
    <w:rsid w:val="00FE6AD1"/>
    <w:rsid w:val="00FE6CC7"/>
    <w:rsid w:val="00FE7344"/>
    <w:rsid w:val="00FE78FD"/>
    <w:rsid w:val="00FE7BA2"/>
    <w:rsid w:val="00FE7E13"/>
    <w:rsid w:val="00FF043C"/>
    <w:rsid w:val="00FF0586"/>
    <w:rsid w:val="00FF09BD"/>
    <w:rsid w:val="00FF13EB"/>
    <w:rsid w:val="00FF1653"/>
    <w:rsid w:val="00FF1744"/>
    <w:rsid w:val="00FF2265"/>
    <w:rsid w:val="00FF27D6"/>
    <w:rsid w:val="00FF2877"/>
    <w:rsid w:val="00FF3496"/>
    <w:rsid w:val="00FF3CA1"/>
    <w:rsid w:val="00FF4177"/>
    <w:rsid w:val="00FF4675"/>
    <w:rsid w:val="00FF48C8"/>
    <w:rsid w:val="00FF5EF2"/>
    <w:rsid w:val="00FF6024"/>
    <w:rsid w:val="00FF6E67"/>
    <w:rsid w:val="00FF7692"/>
    <w:rsid w:val="00FF7932"/>
    <w:rsid w:val="0295C4AC"/>
    <w:rsid w:val="07500D72"/>
    <w:rsid w:val="0B50D185"/>
    <w:rsid w:val="12A04065"/>
    <w:rsid w:val="149DF535"/>
    <w:rsid w:val="14D88A39"/>
    <w:rsid w:val="15D24E61"/>
    <w:rsid w:val="1F7930A7"/>
    <w:rsid w:val="21573570"/>
    <w:rsid w:val="2208C3FB"/>
    <w:rsid w:val="22F305D1"/>
    <w:rsid w:val="240C0B91"/>
    <w:rsid w:val="2656ACD2"/>
    <w:rsid w:val="277D78A8"/>
    <w:rsid w:val="29018DF1"/>
    <w:rsid w:val="2B121FAC"/>
    <w:rsid w:val="2FB9F413"/>
    <w:rsid w:val="346D7F3E"/>
    <w:rsid w:val="34A18884"/>
    <w:rsid w:val="34CFAA38"/>
    <w:rsid w:val="358C8EA8"/>
    <w:rsid w:val="3D9EAE6D"/>
    <w:rsid w:val="3DD7A90E"/>
    <w:rsid w:val="3F3A7ECE"/>
    <w:rsid w:val="40EF778C"/>
    <w:rsid w:val="42F67DC8"/>
    <w:rsid w:val="4B018FAD"/>
    <w:rsid w:val="4DA8B7C7"/>
    <w:rsid w:val="4E61CD80"/>
    <w:rsid w:val="50753EB5"/>
    <w:rsid w:val="53BC9C86"/>
    <w:rsid w:val="5763A203"/>
    <w:rsid w:val="57E5C8E3"/>
    <w:rsid w:val="5A9B42C5"/>
    <w:rsid w:val="5DD2E387"/>
    <w:rsid w:val="5F2C785F"/>
    <w:rsid w:val="639A179D"/>
    <w:rsid w:val="6F0734C8"/>
    <w:rsid w:val="7327AE4F"/>
    <w:rsid w:val="73C79511"/>
    <w:rsid w:val="7532E36B"/>
    <w:rsid w:val="759FA49E"/>
    <w:rsid w:val="786A842D"/>
    <w:rsid w:val="799EDD59"/>
    <w:rsid w:val="7E724E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6847"/>
  <w15:docId w15:val="{9C9A1B2C-DF0D-46B5-9774-9A44BA53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2B6C"/>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link w:val="bulletCar"/>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SubttuloCar">
    <w:name w:val="Subtítulo Car"/>
    <w:basedOn w:val="Fuentedeprrafopredeter"/>
    <w:link w:val="Subttulo"/>
    <w:uiPriority w:val="99"/>
    <w:rsid w:val="00911985"/>
    <w:rPr>
      <w:rFonts w:ascii="Arial" w:hAnsi="Arial" w:cs="Arial"/>
      <w:b/>
      <w:bCs/>
      <w:sz w:val="24"/>
      <w:szCs w:val="24"/>
      <w:lang w:val="es-ES_tradnl" w:eastAsia="es-ES"/>
    </w:rPr>
  </w:style>
  <w:style w:type="paragraph" w:styleId="Sinespaciado">
    <w:name w:val="No Spacing"/>
    <w:uiPriority w:val="1"/>
    <w:qFormat/>
    <w:rsid w:val="00911985"/>
    <w:rPr>
      <w:rFonts w:asciiTheme="minorHAnsi" w:eastAsiaTheme="minorHAnsi" w:hAnsiTheme="minorHAnsi" w:cstheme="minorBidi"/>
      <w:sz w:val="22"/>
      <w:szCs w:val="22"/>
      <w:lang w:eastAsia="en-US"/>
    </w:rPr>
  </w:style>
  <w:style w:type="paragraph" w:customStyle="1" w:styleId="Titcuadrograf">
    <w:name w:val="Tit cuadro graf"/>
    <w:basedOn w:val="Normal"/>
    <w:link w:val="TitcuadrografCar"/>
    <w:qFormat/>
    <w:rsid w:val="004C6A26"/>
    <w:pPr>
      <w:ind w:left="-567"/>
      <w:jc w:val="center"/>
    </w:pPr>
    <w:rPr>
      <w:b/>
      <w:smallCaps/>
      <w:lang w:val="es-MX"/>
    </w:rPr>
  </w:style>
  <w:style w:type="paragraph" w:customStyle="1" w:styleId="pie">
    <w:name w:val="pie"/>
    <w:basedOn w:val="Textonotapie"/>
    <w:link w:val="pieCar"/>
    <w:qFormat/>
    <w:rsid w:val="00A72B1E"/>
    <w:pPr>
      <w:spacing w:after="20"/>
      <w:ind w:left="170" w:hanging="170"/>
    </w:pPr>
    <w:rPr>
      <w:sz w:val="16"/>
      <w:szCs w:val="16"/>
      <w:lang w:val="en-US"/>
    </w:rPr>
  </w:style>
  <w:style w:type="character" w:customStyle="1" w:styleId="bulletCar">
    <w:name w:val="bullet Car"/>
    <w:basedOn w:val="Fuentedeprrafopredeter"/>
    <w:link w:val="bullet"/>
    <w:rsid w:val="007A1B6B"/>
    <w:rPr>
      <w:rFonts w:ascii="Arial" w:hAnsi="Arial"/>
      <w:b/>
      <w:color w:val="0000FF"/>
      <w:spacing w:val="10"/>
      <w:sz w:val="24"/>
      <w:lang w:eastAsia="es-ES"/>
    </w:rPr>
  </w:style>
  <w:style w:type="character" w:customStyle="1" w:styleId="TitcuadrografCar">
    <w:name w:val="Tit cuadro graf Car"/>
    <w:basedOn w:val="bulletCar"/>
    <w:link w:val="Titcuadrograf"/>
    <w:rsid w:val="004C6A26"/>
    <w:rPr>
      <w:rFonts w:ascii="Arial" w:hAnsi="Arial" w:cs="Arial"/>
      <w:b/>
      <w:smallCaps/>
      <w:color w:val="0000FF"/>
      <w:spacing w:val="10"/>
      <w:sz w:val="24"/>
      <w:szCs w:val="24"/>
      <w:lang w:eastAsia="es-ES"/>
    </w:rPr>
  </w:style>
  <w:style w:type="character" w:styleId="Textoennegrita">
    <w:name w:val="Strong"/>
    <w:basedOn w:val="Fuentedeprrafopredeter"/>
    <w:qFormat/>
    <w:rsid w:val="00C54799"/>
    <w:rPr>
      <w:b/>
      <w:bCs/>
    </w:rPr>
  </w:style>
  <w:style w:type="character" w:customStyle="1" w:styleId="pieCar">
    <w:name w:val="pie Car"/>
    <w:basedOn w:val="TextonotapieCar"/>
    <w:link w:val="pie"/>
    <w:rsid w:val="00A72B1E"/>
    <w:rPr>
      <w:rFonts w:ascii="Arial" w:hAnsi="Arial" w:cs="Arial"/>
      <w:sz w:val="16"/>
      <w:szCs w:val="16"/>
      <w:lang w:val="en-US" w:eastAsia="es-ES"/>
    </w:rPr>
  </w:style>
  <w:style w:type="table" w:styleId="Tablaconcuadrcula1clara">
    <w:name w:val="Grid Table 1 Light"/>
    <w:basedOn w:val="Tablanormal"/>
    <w:uiPriority w:val="46"/>
    <w:rsid w:val="00A752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semiHidden/>
    <w:unhideWhenUsed/>
    <w:rsid w:val="00547906"/>
    <w:rPr>
      <w:sz w:val="16"/>
      <w:szCs w:val="16"/>
    </w:rPr>
  </w:style>
  <w:style w:type="paragraph" w:styleId="Asuntodelcomentario">
    <w:name w:val="annotation subject"/>
    <w:basedOn w:val="Textocomentario"/>
    <w:next w:val="Textocomentario"/>
    <w:link w:val="AsuntodelcomentarioCar"/>
    <w:semiHidden/>
    <w:unhideWhenUsed/>
    <w:rsid w:val="00547906"/>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547906"/>
    <w:rPr>
      <w:rFonts w:ascii="Arial" w:hAnsi="Arial" w:cs="Arial"/>
      <w:b/>
      <w:bCs/>
      <w:lang w:val="es-ES_tradnl" w:eastAsia="es-ES"/>
    </w:rPr>
  </w:style>
  <w:style w:type="paragraph" w:styleId="Revisin">
    <w:name w:val="Revision"/>
    <w:hidden/>
    <w:uiPriority w:val="99"/>
    <w:semiHidden/>
    <w:rsid w:val="0061324B"/>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12284C"/>
    <w:rPr>
      <w:color w:val="605E5C"/>
      <w:shd w:val="clear" w:color="auto" w:fill="E1DFDD"/>
    </w:rPr>
  </w:style>
  <w:style w:type="paragraph" w:customStyle="1" w:styleId="Estilo1pie">
    <w:name w:val="Estilo1 pie"/>
    <w:basedOn w:val="pie"/>
    <w:qFormat/>
    <w:rsid w:val="00A72B1E"/>
    <w:pPr>
      <w:spacing w:after="0"/>
    </w:pPr>
    <w:rPr>
      <w:lang w:val="es-MX"/>
    </w:rPr>
  </w:style>
  <w:style w:type="paragraph" w:customStyle="1" w:styleId="Estilo1">
    <w:name w:val="Estilo1"/>
    <w:basedOn w:val="Estilo1pie"/>
    <w:qFormat/>
    <w:rsid w:val="00EB14F7"/>
    <w:pPr>
      <w:widowControl w:val="0"/>
    </w:pPr>
  </w:style>
  <w:style w:type="character" w:customStyle="1" w:styleId="ui-provider">
    <w:name w:val="ui-provider"/>
    <w:basedOn w:val="Fuentedeprrafopredeter"/>
    <w:rsid w:val="00E16395"/>
  </w:style>
  <w:style w:type="character" w:customStyle="1" w:styleId="PiedepginaCar">
    <w:name w:val="Pie de página Car"/>
    <w:basedOn w:val="Fuentedeprrafopredeter"/>
    <w:link w:val="Piedepgina"/>
    <w:uiPriority w:val="99"/>
    <w:rsid w:val="00895E7B"/>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347872169">
      <w:bodyDiv w:val="1"/>
      <w:marLeft w:val="0"/>
      <w:marRight w:val="0"/>
      <w:marTop w:val="0"/>
      <w:marBottom w:val="0"/>
      <w:divBdr>
        <w:top w:val="none" w:sz="0" w:space="0" w:color="auto"/>
        <w:left w:val="none" w:sz="0" w:space="0" w:color="auto"/>
        <w:bottom w:val="none" w:sz="0" w:space="0" w:color="auto"/>
        <w:right w:val="none" w:sz="0" w:space="0" w:color="auto"/>
      </w:divBdr>
    </w:div>
    <w:div w:id="380398503">
      <w:bodyDiv w:val="1"/>
      <w:marLeft w:val="0"/>
      <w:marRight w:val="0"/>
      <w:marTop w:val="0"/>
      <w:marBottom w:val="0"/>
      <w:divBdr>
        <w:top w:val="none" w:sz="0" w:space="0" w:color="auto"/>
        <w:left w:val="none" w:sz="0" w:space="0" w:color="auto"/>
        <w:bottom w:val="none" w:sz="0" w:space="0" w:color="auto"/>
        <w:right w:val="none" w:sz="0" w:space="0" w:color="auto"/>
      </w:divBdr>
    </w:div>
    <w:div w:id="4534477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5429135">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1931287">
      <w:bodyDiv w:val="1"/>
      <w:marLeft w:val="0"/>
      <w:marRight w:val="0"/>
      <w:marTop w:val="0"/>
      <w:marBottom w:val="0"/>
      <w:divBdr>
        <w:top w:val="none" w:sz="0" w:space="0" w:color="auto"/>
        <w:left w:val="none" w:sz="0" w:space="0" w:color="auto"/>
        <w:bottom w:val="none" w:sz="0" w:space="0" w:color="auto"/>
        <w:right w:val="none" w:sz="0" w:space="0" w:color="auto"/>
      </w:divBdr>
    </w:div>
    <w:div w:id="68394221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34468671">
      <w:bodyDiv w:val="1"/>
      <w:marLeft w:val="0"/>
      <w:marRight w:val="0"/>
      <w:marTop w:val="0"/>
      <w:marBottom w:val="0"/>
      <w:divBdr>
        <w:top w:val="none" w:sz="0" w:space="0" w:color="auto"/>
        <w:left w:val="none" w:sz="0" w:space="0" w:color="auto"/>
        <w:bottom w:val="none" w:sz="0" w:space="0" w:color="auto"/>
        <w:right w:val="none" w:sz="0" w:space="0" w:color="auto"/>
      </w:divBdr>
    </w:div>
    <w:div w:id="76573336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043872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980497407">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1999337">
      <w:bodyDiv w:val="1"/>
      <w:marLeft w:val="0"/>
      <w:marRight w:val="0"/>
      <w:marTop w:val="0"/>
      <w:marBottom w:val="0"/>
      <w:divBdr>
        <w:top w:val="none" w:sz="0" w:space="0" w:color="auto"/>
        <w:left w:val="none" w:sz="0" w:space="0" w:color="auto"/>
        <w:bottom w:val="none" w:sz="0" w:space="0" w:color="auto"/>
        <w:right w:val="none" w:sz="0" w:space="0" w:color="auto"/>
      </w:divBdr>
    </w:div>
    <w:div w:id="114466380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6835351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57811310">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8374311">
      <w:bodyDiv w:val="1"/>
      <w:marLeft w:val="0"/>
      <w:marRight w:val="0"/>
      <w:marTop w:val="0"/>
      <w:marBottom w:val="0"/>
      <w:divBdr>
        <w:top w:val="none" w:sz="0" w:space="0" w:color="auto"/>
        <w:left w:val="none" w:sz="0" w:space="0" w:color="auto"/>
        <w:bottom w:val="none" w:sz="0" w:space="0" w:color="auto"/>
        <w:right w:val="none" w:sz="0" w:space="0" w:color="auto"/>
      </w:divBdr>
    </w:div>
    <w:div w:id="1578518864">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youtube.com/user/INEGIInforma" TargetMode="External"/><Relationship Id="rId26" Type="http://schemas.openxmlformats.org/officeDocument/2006/relationships/chart" Target="charts/chart5.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facebook.com/INEGIInforma/" TargetMode="External"/><Relationship Id="rId17" Type="http://schemas.openxmlformats.org/officeDocument/2006/relationships/image" Target="media/image3.png"/><Relationship Id="rId25"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unicacionsocial@inegi.org.mx" TargetMode="External"/><Relationship Id="rId24" Type="http://schemas.openxmlformats.org/officeDocument/2006/relationships/chart" Target="charts/chart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chart" Target="charts/chart2.xml"/><Relationship Id="rId28" Type="http://schemas.openxmlformats.org/officeDocument/2006/relationships/hyperlink" Target="https://www.inegi.org.mx/investigacion/ioae/"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inegi_informa/" TargetMode="External"/><Relationship Id="rId22" Type="http://schemas.openxmlformats.org/officeDocument/2006/relationships/chart" Target="charts/chart1.xml"/><Relationship Id="rId27" Type="http://schemas.openxmlformats.org/officeDocument/2006/relationships/hyperlink" Target="https://www.inegi.org.mx/investigacion/ioae/"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10.153.2.159\410_daa_dae\Hugo\Comunicados\IOAE\2024\10-24\IOAE-gr&#225;ficas%20line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10.153.2.159\410_daa_dae\Hugo\Comunicados\IOAE\2024\10-24\IOAE-gr&#225;ficas%20line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0.153.2.159\410_daa_dae\Hugo\Comunicados\IOAE\2024\10-24\IOAE-gr&#225;ficas%20line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10.153.2.159\410_daa_dae\Hugo\Comunicados\IOAE\2024\10-24\IOAE-gr&#225;ficas%20linea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0.153.2.159\410_daa_dae\Hugo\Comunicados\IOAE\2024\10-24\IOAE-gr&#225;ficas%20linea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175241146128275E-2"/>
          <c:y val="4.8594290127120909E-2"/>
          <c:w val="0.90161008923966601"/>
          <c:h val="0.74766973554072214"/>
        </c:manualLayout>
      </c:layout>
      <c:lineChart>
        <c:grouping val="standard"/>
        <c:varyColors val="0"/>
        <c:ser>
          <c:idx val="0"/>
          <c:order val="0"/>
          <c:tx>
            <c:strRef>
              <c:f>IGAE!$D$1</c:f>
              <c:strCache>
                <c:ptCount val="1"/>
                <c:pt idx="0">
                  <c:v>IGAE</c:v>
                </c:pt>
              </c:strCache>
            </c:strRef>
          </c:tx>
          <c:spPr>
            <a:ln w="28575" cap="rnd">
              <a:solidFill>
                <a:schemeClr val="accent1">
                  <a:lumMod val="75000"/>
                </a:schemeClr>
              </a:solidFill>
              <a:round/>
            </a:ln>
            <a:effectLst/>
          </c:spPr>
          <c:marker>
            <c:symbol val="none"/>
          </c:marker>
          <c:cat>
            <c:multiLvlStrRef>
              <c:f>IGAE!$B$2:$C$59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IGAE!$D$2:$D$59</c:f>
              <c:numCache>
                <c:formatCode>General</c:formatCode>
                <c:ptCount val="58"/>
                <c:pt idx="0">
                  <c:v>-0.15834918000000001</c:v>
                </c:pt>
                <c:pt idx="1">
                  <c:v>-1.4662807899999999</c:v>
                </c:pt>
                <c:pt idx="2">
                  <c:v>-3.61746188</c:v>
                </c:pt>
                <c:pt idx="3">
                  <c:v>-22.107933800000001</c:v>
                </c:pt>
                <c:pt idx="4">
                  <c:v>-23.287456299999999</c:v>
                </c:pt>
                <c:pt idx="5">
                  <c:v>-14.595932400000001</c:v>
                </c:pt>
                <c:pt idx="6">
                  <c:v>-10.0737764</c:v>
                </c:pt>
                <c:pt idx="7">
                  <c:v>-7.5038894699999998</c:v>
                </c:pt>
                <c:pt idx="8">
                  <c:v>-5.4516977999999998</c:v>
                </c:pt>
                <c:pt idx="9">
                  <c:v>-3.4235163700000002</c:v>
                </c:pt>
                <c:pt idx="10">
                  <c:v>-2.9013116299999999</c:v>
                </c:pt>
                <c:pt idx="11">
                  <c:v>-3.0179014300000002</c:v>
                </c:pt>
                <c:pt idx="12">
                  <c:v>-3.8281558499999999</c:v>
                </c:pt>
                <c:pt idx="13">
                  <c:v>-3.3760211299999998</c:v>
                </c:pt>
                <c:pt idx="14">
                  <c:v>1.8065807199999999</c:v>
                </c:pt>
                <c:pt idx="15">
                  <c:v>25.185029199999999</c:v>
                </c:pt>
                <c:pt idx="16">
                  <c:v>27.668812599999999</c:v>
                </c:pt>
                <c:pt idx="17">
                  <c:v>13.945222100000001</c:v>
                </c:pt>
                <c:pt idx="18">
                  <c:v>8.06190681</c:v>
                </c:pt>
                <c:pt idx="19">
                  <c:v>4.1669515099999996</c:v>
                </c:pt>
                <c:pt idx="20">
                  <c:v>1.3133472399999999</c:v>
                </c:pt>
                <c:pt idx="21">
                  <c:v>0.97287990000000002</c:v>
                </c:pt>
                <c:pt idx="22">
                  <c:v>0.74995058000000003</c:v>
                </c:pt>
                <c:pt idx="23">
                  <c:v>1.6887570999999999</c:v>
                </c:pt>
                <c:pt idx="24">
                  <c:v>2.2565655900000001</c:v>
                </c:pt>
                <c:pt idx="25">
                  <c:v>3.2286793999999999</c:v>
                </c:pt>
                <c:pt idx="26">
                  <c:v>1.6775086400000001</c:v>
                </c:pt>
                <c:pt idx="27">
                  <c:v>2.82412653</c:v>
                </c:pt>
                <c:pt idx="28">
                  <c:v>2.6027892499999998</c:v>
                </c:pt>
                <c:pt idx="29">
                  <c:v>2.460099</c:v>
                </c:pt>
                <c:pt idx="30">
                  <c:v>3.4580269800000001</c:v>
                </c:pt>
                <c:pt idx="31">
                  <c:v>4.7582314400000003</c:v>
                </c:pt>
                <c:pt idx="32">
                  <c:v>5.1340146799999999</c:v>
                </c:pt>
                <c:pt idx="33">
                  <c:v>4.7114980099999997</c:v>
                </c:pt>
                <c:pt idx="34">
                  <c:v>4.44135261</c:v>
                </c:pt>
                <c:pt idx="35">
                  <c:v>4.4614305099999996</c:v>
                </c:pt>
                <c:pt idx="36">
                  <c:v>4.0548575500000004</c:v>
                </c:pt>
                <c:pt idx="37">
                  <c:v>3.25486465</c:v>
                </c:pt>
                <c:pt idx="38">
                  <c:v>2.4837014399999999</c:v>
                </c:pt>
                <c:pt idx="39">
                  <c:v>3.1032063700000001</c:v>
                </c:pt>
                <c:pt idx="40">
                  <c:v>3.3887725199999998</c:v>
                </c:pt>
                <c:pt idx="41">
                  <c:v>4.1593761499999999</c:v>
                </c:pt>
                <c:pt idx="42">
                  <c:v>3.3506346300000001</c:v>
                </c:pt>
                <c:pt idx="43">
                  <c:v>3.5247315600000002</c:v>
                </c:pt>
                <c:pt idx="44">
                  <c:v>3.8380101999999998</c:v>
                </c:pt>
                <c:pt idx="45">
                  <c:v>3.3497940399999999</c:v>
                </c:pt>
                <c:pt idx="46">
                  <c:v>2.4637050700000001</c:v>
                </c:pt>
                <c:pt idx="47">
                  <c:v>1.9374809500000001</c:v>
                </c:pt>
                <c:pt idx="48">
                  <c:v>0.99071061000000005</c:v>
                </c:pt>
                <c:pt idx="49">
                  <c:v>2.6101586399999999</c:v>
                </c:pt>
                <c:pt idx="50">
                  <c:v>3.1287553099999998</c:v>
                </c:pt>
                <c:pt idx="51">
                  <c:v>0.86605852999999999</c:v>
                </c:pt>
                <c:pt idx="52">
                  <c:v>1.55837884</c:v>
                </c:pt>
                <c:pt idx="53">
                  <c:v>1.2769494699999999</c:v>
                </c:pt>
                <c:pt idx="54">
                  <c:v>1.9921920799999999</c:v>
                </c:pt>
                <c:pt idx="55">
                  <c:v>1.03230661</c:v>
                </c:pt>
              </c:numCache>
            </c:numRef>
          </c:val>
          <c:smooth val="0"/>
          <c:extLst>
            <c:ext xmlns:c16="http://schemas.microsoft.com/office/drawing/2014/chart" uri="{C3380CC4-5D6E-409C-BE32-E72D297353CC}">
              <c16:uniqueId val="{00000000-72DF-4F82-AE3D-7CAC7E98B5BA}"/>
            </c:ext>
          </c:extLst>
        </c:ser>
        <c:ser>
          <c:idx val="1"/>
          <c:order val="1"/>
          <c:tx>
            <c:strRef>
              <c:f>IGAE!$E$1</c:f>
              <c:strCache>
                <c:ptCount val="1"/>
                <c:pt idx="0">
                  <c:v>Ajuste</c:v>
                </c:pt>
              </c:strCache>
            </c:strRef>
          </c:tx>
          <c:spPr>
            <a:ln w="19050" cap="rnd">
              <a:solidFill>
                <a:schemeClr val="tx1"/>
              </a:solidFill>
              <a:prstDash val="sysDash"/>
              <a:round/>
            </a:ln>
            <a:effectLst/>
          </c:spPr>
          <c:marker>
            <c:symbol val="none"/>
          </c:marker>
          <c:cat>
            <c:multiLvlStrRef>
              <c:f>IGAE!$B$2:$C$59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IGAE!$E$2:$E$59</c:f>
              <c:numCache>
                <c:formatCode>General</c:formatCode>
                <c:ptCount val="58"/>
                <c:pt idx="0">
                  <c:v>-0.40515308</c:v>
                </c:pt>
                <c:pt idx="1">
                  <c:v>-1.3422556000000001</c:v>
                </c:pt>
                <c:pt idx="2">
                  <c:v>-5.2573764499999998</c:v>
                </c:pt>
                <c:pt idx="3">
                  <c:v>-21.832569500000002</c:v>
                </c:pt>
                <c:pt idx="4">
                  <c:v>-22.7457019</c:v>
                </c:pt>
                <c:pt idx="5">
                  <c:v>-15.319499199999999</c:v>
                </c:pt>
                <c:pt idx="6">
                  <c:v>-10.7571546</c:v>
                </c:pt>
                <c:pt idx="7">
                  <c:v>-7.4092448299999996</c:v>
                </c:pt>
                <c:pt idx="8">
                  <c:v>-5.3869230699999999</c:v>
                </c:pt>
                <c:pt idx="9">
                  <c:v>-3.82814809</c:v>
                </c:pt>
                <c:pt idx="10">
                  <c:v>-2.8367486500000001</c:v>
                </c:pt>
                <c:pt idx="11">
                  <c:v>-2.4105760599999999</c:v>
                </c:pt>
                <c:pt idx="12">
                  <c:v>-3.3372084800000001</c:v>
                </c:pt>
                <c:pt idx="13">
                  <c:v>-3.4986235099999998</c:v>
                </c:pt>
                <c:pt idx="14">
                  <c:v>3.6822118800000001</c:v>
                </c:pt>
                <c:pt idx="15">
                  <c:v>25.708534100000001</c:v>
                </c:pt>
                <c:pt idx="16">
                  <c:v>28.428595000000001</c:v>
                </c:pt>
                <c:pt idx="17">
                  <c:v>13.839038499999999</c:v>
                </c:pt>
                <c:pt idx="18">
                  <c:v>8.2814359399999997</c:v>
                </c:pt>
                <c:pt idx="19">
                  <c:v>4.4961122900000001</c:v>
                </c:pt>
                <c:pt idx="20">
                  <c:v>2.2981942399999999</c:v>
                </c:pt>
                <c:pt idx="21">
                  <c:v>1.3405623200000001</c:v>
                </c:pt>
                <c:pt idx="22">
                  <c:v>1.14461356</c:v>
                </c:pt>
                <c:pt idx="23">
                  <c:v>1.94630188</c:v>
                </c:pt>
                <c:pt idx="24">
                  <c:v>1.61391069</c:v>
                </c:pt>
                <c:pt idx="25">
                  <c:v>3.2194202500000002</c:v>
                </c:pt>
                <c:pt idx="26">
                  <c:v>2.3063395600000001</c:v>
                </c:pt>
                <c:pt idx="27">
                  <c:v>3.1309778499999998</c:v>
                </c:pt>
                <c:pt idx="28">
                  <c:v>2.9550234799999999</c:v>
                </c:pt>
                <c:pt idx="29">
                  <c:v>2.7046271700000002</c:v>
                </c:pt>
                <c:pt idx="30">
                  <c:v>3.0303755899999998</c:v>
                </c:pt>
                <c:pt idx="31">
                  <c:v>4.0869288499999996</c:v>
                </c:pt>
                <c:pt idx="32">
                  <c:v>4.9887109799999996</c:v>
                </c:pt>
                <c:pt idx="33">
                  <c:v>4.7683163200000003</c:v>
                </c:pt>
                <c:pt idx="34">
                  <c:v>3.9961125499999999</c:v>
                </c:pt>
                <c:pt idx="35">
                  <c:v>4.1519154</c:v>
                </c:pt>
                <c:pt idx="36">
                  <c:v>6.2259660099999996</c:v>
                </c:pt>
                <c:pt idx="37">
                  <c:v>4.0936350299999997</c:v>
                </c:pt>
                <c:pt idx="38">
                  <c:v>2.6438191500000001</c:v>
                </c:pt>
                <c:pt idx="39">
                  <c:v>2.7185871100000001</c:v>
                </c:pt>
                <c:pt idx="40">
                  <c:v>3.38050257</c:v>
                </c:pt>
                <c:pt idx="41">
                  <c:v>4.0501965799999997</c:v>
                </c:pt>
                <c:pt idx="42">
                  <c:v>3.14056647</c:v>
                </c:pt>
                <c:pt idx="43">
                  <c:v>3.6882918500000001</c:v>
                </c:pt>
                <c:pt idx="44">
                  <c:v>3.91303438</c:v>
                </c:pt>
                <c:pt idx="45">
                  <c:v>3.3537056199999999</c:v>
                </c:pt>
                <c:pt idx="46">
                  <c:v>2.8167288899999998</c:v>
                </c:pt>
                <c:pt idx="47">
                  <c:v>2.22325302</c:v>
                </c:pt>
                <c:pt idx="48">
                  <c:v>1.0727069899999999</c:v>
                </c:pt>
                <c:pt idx="49">
                  <c:v>1.7685190799999999</c:v>
                </c:pt>
                <c:pt idx="50">
                  <c:v>2.0238274700000001</c:v>
                </c:pt>
                <c:pt idx="51">
                  <c:v>1.71445045</c:v>
                </c:pt>
                <c:pt idx="52">
                  <c:v>1.6031832699999999</c:v>
                </c:pt>
                <c:pt idx="53">
                  <c:v>0.91688042000000003</c:v>
                </c:pt>
                <c:pt idx="54">
                  <c:v>1.03283905</c:v>
                </c:pt>
                <c:pt idx="55">
                  <c:v>1.8855207700000001</c:v>
                </c:pt>
              </c:numCache>
            </c:numRef>
          </c:val>
          <c:smooth val="0"/>
          <c:extLst>
            <c:ext xmlns:c16="http://schemas.microsoft.com/office/drawing/2014/chart" uri="{C3380CC4-5D6E-409C-BE32-E72D297353CC}">
              <c16:uniqueId val="{00000001-72DF-4F82-AE3D-7CAC7E98B5BA}"/>
            </c:ext>
          </c:extLst>
        </c:ser>
        <c:ser>
          <c:idx val="2"/>
          <c:order val="2"/>
          <c:tx>
            <c:strRef>
              <c:f>IGAE!$F$1</c:f>
              <c:strCache>
                <c:ptCount val="1"/>
                <c:pt idx="0">
                  <c:v>Nowcasts</c:v>
                </c:pt>
              </c:strCache>
            </c:strRef>
          </c:tx>
          <c:spPr>
            <a:ln w="28575" cap="rnd">
              <a:solidFill>
                <a:srgbClr val="C00000"/>
              </a:solidFill>
              <a:round/>
            </a:ln>
            <a:effectLst/>
          </c:spPr>
          <c:marker>
            <c:symbol val="none"/>
          </c:marker>
          <c:cat>
            <c:multiLvlStrRef>
              <c:f>IGAE!$B$2:$C$59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IGAE!$F$2:$F$59</c:f>
              <c:numCache>
                <c:formatCode>General</c:formatCode>
                <c:ptCount val="58"/>
                <c:pt idx="55" formatCode="0.00000000">
                  <c:v>1.03230661</c:v>
                </c:pt>
                <c:pt idx="56" formatCode="0.0000000">
                  <c:v>0.31513849999999999</c:v>
                </c:pt>
                <c:pt idx="57" formatCode="0.0000000">
                  <c:v>0.4017503</c:v>
                </c:pt>
              </c:numCache>
            </c:numRef>
          </c:val>
          <c:smooth val="0"/>
          <c:extLst>
            <c:ext xmlns:c16="http://schemas.microsoft.com/office/drawing/2014/chart" uri="{C3380CC4-5D6E-409C-BE32-E72D297353CC}">
              <c16:uniqueId val="{00000002-72DF-4F82-AE3D-7CAC7E98B5BA}"/>
            </c:ext>
          </c:extLst>
        </c:ser>
        <c:ser>
          <c:idx val="3"/>
          <c:order val="3"/>
          <c:tx>
            <c:strRef>
              <c:f>IGAE!$G$1</c:f>
              <c:strCache>
                <c:ptCount val="1"/>
                <c:pt idx="0">
                  <c:v>Inferior</c:v>
                </c:pt>
              </c:strCache>
            </c:strRef>
          </c:tx>
          <c:spPr>
            <a:ln w="19050" cap="rnd">
              <a:solidFill>
                <a:srgbClr val="00B050"/>
              </a:solidFill>
              <a:prstDash val="sysDash"/>
              <a:round/>
            </a:ln>
            <a:effectLst/>
          </c:spPr>
          <c:marker>
            <c:symbol val="none"/>
          </c:marker>
          <c:dPt>
            <c:idx val="10"/>
            <c:marker>
              <c:symbol val="none"/>
            </c:marker>
            <c:bubble3D val="0"/>
            <c:extLst>
              <c:ext xmlns:c16="http://schemas.microsoft.com/office/drawing/2014/chart" uri="{C3380CC4-5D6E-409C-BE32-E72D297353CC}">
                <c16:uniqueId val="{00000003-72DF-4F82-AE3D-7CAC7E98B5BA}"/>
              </c:ext>
            </c:extLst>
          </c:dPt>
          <c:dPt>
            <c:idx val="11"/>
            <c:marker>
              <c:symbol val="none"/>
            </c:marker>
            <c:bubble3D val="0"/>
            <c:extLst>
              <c:ext xmlns:c16="http://schemas.microsoft.com/office/drawing/2014/chart" uri="{C3380CC4-5D6E-409C-BE32-E72D297353CC}">
                <c16:uniqueId val="{00000004-72DF-4F82-AE3D-7CAC7E98B5BA}"/>
              </c:ext>
            </c:extLst>
          </c:dPt>
          <c:cat>
            <c:multiLvlStrRef>
              <c:f>IGAE!$B$2:$C$59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IGAE!$G$2:$G$59</c:f>
              <c:numCache>
                <c:formatCode>General</c:formatCode>
                <c:ptCount val="58"/>
                <c:pt idx="55" formatCode="0.00000000">
                  <c:v>1.03230661</c:v>
                </c:pt>
                <c:pt idx="56" formatCode="0.0000000">
                  <c:v>-0.62612239999999997</c:v>
                </c:pt>
                <c:pt idx="57" formatCode="0.0000000">
                  <c:v>-0.4990927</c:v>
                </c:pt>
              </c:numCache>
            </c:numRef>
          </c:val>
          <c:smooth val="0"/>
          <c:extLst>
            <c:ext xmlns:c16="http://schemas.microsoft.com/office/drawing/2014/chart" uri="{C3380CC4-5D6E-409C-BE32-E72D297353CC}">
              <c16:uniqueId val="{00000005-72DF-4F82-AE3D-7CAC7E98B5BA}"/>
            </c:ext>
          </c:extLst>
        </c:ser>
        <c:ser>
          <c:idx val="4"/>
          <c:order val="4"/>
          <c:tx>
            <c:strRef>
              <c:f>IGAE!$H$1</c:f>
              <c:strCache>
                <c:ptCount val="1"/>
                <c:pt idx="0">
                  <c:v>Superior</c:v>
                </c:pt>
              </c:strCache>
            </c:strRef>
          </c:tx>
          <c:spPr>
            <a:ln w="19050" cap="rnd">
              <a:solidFill>
                <a:srgbClr val="00B050"/>
              </a:solidFill>
              <a:prstDash val="sysDash"/>
              <a:round/>
            </a:ln>
            <a:effectLst/>
          </c:spPr>
          <c:marker>
            <c:symbol val="none"/>
          </c:marker>
          <c:dPt>
            <c:idx val="10"/>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72DF-4F82-AE3D-7CAC7E98B5BA}"/>
              </c:ext>
            </c:extLst>
          </c:dPt>
          <c:dPt>
            <c:idx val="11"/>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72DF-4F82-AE3D-7CAC7E98B5BA}"/>
              </c:ext>
            </c:extLst>
          </c:dPt>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72DF-4F82-AE3D-7CAC7E98B5BA}"/>
              </c:ext>
            </c:extLst>
          </c:dPt>
          <c:cat>
            <c:multiLvlStrRef>
              <c:f>IGAE!$B$2:$C$59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IGAE!$H$2:$H$59</c:f>
              <c:numCache>
                <c:formatCode>General</c:formatCode>
                <c:ptCount val="58"/>
                <c:pt idx="55">
                  <c:v>1.03230661</c:v>
                </c:pt>
                <c:pt idx="56" formatCode="0.0000000">
                  <c:v>1.258704</c:v>
                </c:pt>
                <c:pt idx="57" formatCode="0.0000000">
                  <c:v>1.3025933000000001</c:v>
                </c:pt>
              </c:numCache>
            </c:numRef>
          </c:val>
          <c:smooth val="0"/>
          <c:extLst>
            <c:ext xmlns:c16="http://schemas.microsoft.com/office/drawing/2014/chart" uri="{C3380CC4-5D6E-409C-BE32-E72D297353CC}">
              <c16:uniqueId val="{0000000C-72DF-4F82-AE3D-7CAC7E98B5BA}"/>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3175" cap="flat" cmpd="sng" algn="ctr">
            <a:solidFill>
              <a:schemeClr val="tx1"/>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50"/>
        <c:tickLblSkip val="1"/>
        <c:tickMarkSkip val="1"/>
        <c:noMultiLvlLbl val="0"/>
      </c:catAx>
      <c:valAx>
        <c:axId val="490943808"/>
        <c:scaling>
          <c:orientation val="minMax"/>
          <c:max val="40"/>
          <c:min val="-30"/>
        </c:scaling>
        <c:delete val="0"/>
        <c:axPos val="l"/>
        <c:majorGridlines>
          <c:spPr>
            <a:ln w="317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a:t>
                </a:r>
              </a:p>
            </c:rich>
          </c:tx>
          <c:layout>
            <c:manualLayout>
              <c:xMode val="edge"/>
              <c:yMode val="edge"/>
              <c:x val="9.6408774574748349E-3"/>
              <c:y val="0.43702074400852564"/>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out"/>
        <c:minorTickMark val="none"/>
        <c:tickLblPos val="nextTo"/>
        <c:spPr>
          <a:noFill/>
          <a:ln w="31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w="3175">
          <a:solidFill>
            <a:sysClr val="windowText" lastClr="000000"/>
          </a:solidFill>
        </a:ln>
        <a:effectLst/>
      </c:spPr>
    </c:plotArea>
    <c:legend>
      <c:legendPos val="b"/>
      <c:layout>
        <c:manualLayout>
          <c:xMode val="edge"/>
          <c:yMode val="edge"/>
          <c:x val="0"/>
          <c:y val="0.93272034829446415"/>
          <c:w val="0.99760719014607901"/>
          <c:h val="6.696477532957610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3175" cap="flat" cmpd="sng" algn="ctr">
      <a:solidFill>
        <a:sysClr val="windowText" lastClr="000000"/>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628250623264504E-2"/>
          <c:y val="4.874785687071375E-2"/>
          <c:w val="0.89737945790846396"/>
          <c:h val="0.7481302903202115"/>
        </c:manualLayout>
      </c:layout>
      <c:lineChart>
        <c:grouping val="standard"/>
        <c:varyColors val="0"/>
        <c:ser>
          <c:idx val="0"/>
          <c:order val="0"/>
          <c:tx>
            <c:strRef>
              <c:f>'GA2'!$D$1</c:f>
              <c:strCache>
                <c:ptCount val="1"/>
                <c:pt idx="0">
                  <c:v>IGAE</c:v>
                </c:pt>
              </c:strCache>
            </c:strRef>
          </c:tx>
          <c:spPr>
            <a:ln w="19050" cap="rnd">
              <a:solidFill>
                <a:schemeClr val="accent1">
                  <a:lumMod val="75000"/>
                </a:schemeClr>
              </a:solidFill>
              <a:round/>
            </a:ln>
            <a:effectLst/>
          </c:spPr>
          <c:marker>
            <c:symbol val="none"/>
          </c:marker>
          <c:cat>
            <c:multiLvlStrRef>
              <c:f>'GA2'!$B$2:$C$59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'GA2'!$D$2:$D$59</c:f>
              <c:numCache>
                <c:formatCode>General</c:formatCode>
                <c:ptCount val="58"/>
                <c:pt idx="0">
                  <c:v>-1.7205614300000001</c:v>
                </c:pt>
                <c:pt idx="1">
                  <c:v>-2.90829833</c:v>
                </c:pt>
                <c:pt idx="2">
                  <c:v>-4.8675299699999997</c:v>
                </c:pt>
                <c:pt idx="3">
                  <c:v>-29.5737071</c:v>
                </c:pt>
                <c:pt idx="4">
                  <c:v>-29.154690599999999</c:v>
                </c:pt>
                <c:pt idx="5">
                  <c:v>-14.6287137</c:v>
                </c:pt>
                <c:pt idx="6">
                  <c:v>-10.341530199999999</c:v>
                </c:pt>
                <c:pt idx="7">
                  <c:v>-6.7362172899999999</c:v>
                </c:pt>
                <c:pt idx="8">
                  <c:v>-4.39476216</c:v>
                </c:pt>
                <c:pt idx="9">
                  <c:v>-0.91043901000000005</c:v>
                </c:pt>
                <c:pt idx="10">
                  <c:v>-1.11109423</c:v>
                </c:pt>
                <c:pt idx="11">
                  <c:v>-0.81510932999999997</c:v>
                </c:pt>
                <c:pt idx="12">
                  <c:v>-2.8037679400000002</c:v>
                </c:pt>
                <c:pt idx="13">
                  <c:v>-3.1362622400000002</c:v>
                </c:pt>
                <c:pt idx="14">
                  <c:v>2.39004101</c:v>
                </c:pt>
                <c:pt idx="15">
                  <c:v>36.9052261</c:v>
                </c:pt>
                <c:pt idx="16">
                  <c:v>36.305312800000003</c:v>
                </c:pt>
                <c:pt idx="17">
                  <c:v>11.7660357</c:v>
                </c:pt>
                <c:pt idx="18">
                  <c:v>7.2925901499999997</c:v>
                </c:pt>
                <c:pt idx="19">
                  <c:v>3.6937412599999999</c:v>
                </c:pt>
                <c:pt idx="20">
                  <c:v>0.15325632</c:v>
                </c:pt>
                <c:pt idx="21">
                  <c:v>0.27737522999999997</c:v>
                </c:pt>
                <c:pt idx="22">
                  <c:v>1.350376E-2</c:v>
                </c:pt>
                <c:pt idx="23">
                  <c:v>1.87181533</c:v>
                </c:pt>
                <c:pt idx="24">
                  <c:v>4.0772151799999996</c:v>
                </c:pt>
                <c:pt idx="25">
                  <c:v>5.2152817200000001</c:v>
                </c:pt>
                <c:pt idx="26">
                  <c:v>3.6487905399999998</c:v>
                </c:pt>
                <c:pt idx="27">
                  <c:v>4.5692307100000003</c:v>
                </c:pt>
                <c:pt idx="28">
                  <c:v>4.8237340900000003</c:v>
                </c:pt>
                <c:pt idx="29">
                  <c:v>4.5325005799999998</c:v>
                </c:pt>
                <c:pt idx="30">
                  <c:v>4.9559238900000002</c:v>
                </c:pt>
                <c:pt idx="31">
                  <c:v>5.0780642</c:v>
                </c:pt>
                <c:pt idx="32">
                  <c:v>5.73305358</c:v>
                </c:pt>
                <c:pt idx="33">
                  <c:v>4.8311339699999998</c:v>
                </c:pt>
                <c:pt idx="34">
                  <c:v>5.0250526500000001</c:v>
                </c:pt>
                <c:pt idx="35">
                  <c:v>4.8329918899999997</c:v>
                </c:pt>
                <c:pt idx="36">
                  <c:v>3.0902918000000001</c:v>
                </c:pt>
                <c:pt idx="37">
                  <c:v>3.28064059</c:v>
                </c:pt>
                <c:pt idx="38">
                  <c:v>2.2474748299999998</c:v>
                </c:pt>
                <c:pt idx="39">
                  <c:v>2.29065735</c:v>
                </c:pt>
                <c:pt idx="40">
                  <c:v>3.3555799500000001</c:v>
                </c:pt>
                <c:pt idx="41">
                  <c:v>4.2905016800000002</c:v>
                </c:pt>
                <c:pt idx="42">
                  <c:v>3.71948787</c:v>
                </c:pt>
                <c:pt idx="43">
                  <c:v>3.3933369299999998</c:v>
                </c:pt>
                <c:pt idx="44">
                  <c:v>4.9379657899999998</c:v>
                </c:pt>
                <c:pt idx="45">
                  <c:v>5.9487897800000002</c:v>
                </c:pt>
                <c:pt idx="46">
                  <c:v>3.3136112899999999</c:v>
                </c:pt>
                <c:pt idx="47">
                  <c:v>1.3891772899999999</c:v>
                </c:pt>
                <c:pt idx="48">
                  <c:v>1.58358076</c:v>
                </c:pt>
                <c:pt idx="49">
                  <c:v>1.0779888500000001</c:v>
                </c:pt>
                <c:pt idx="50">
                  <c:v>1.96410581</c:v>
                </c:pt>
                <c:pt idx="51">
                  <c:v>0.72971856000000002</c:v>
                </c:pt>
                <c:pt idx="52">
                  <c:v>0.62084985000000004</c:v>
                </c:pt>
                <c:pt idx="53">
                  <c:v>0.70049773000000004</c:v>
                </c:pt>
                <c:pt idx="54">
                  <c:v>0.86494585999999996</c:v>
                </c:pt>
                <c:pt idx="55">
                  <c:v>0.31735975999999999</c:v>
                </c:pt>
                <c:pt idx="56">
                  <c:v>-1.4897799999999999E-2</c:v>
                </c:pt>
              </c:numCache>
            </c:numRef>
          </c:val>
          <c:smooth val="0"/>
          <c:extLst>
            <c:ext xmlns:c16="http://schemas.microsoft.com/office/drawing/2014/chart" uri="{C3380CC4-5D6E-409C-BE32-E72D297353CC}">
              <c16:uniqueId val="{00000000-F76A-4F7A-9864-2B483F55075D}"/>
            </c:ext>
          </c:extLst>
        </c:ser>
        <c:ser>
          <c:idx val="1"/>
          <c:order val="1"/>
          <c:tx>
            <c:strRef>
              <c:f>'GA2'!$E$1</c:f>
              <c:strCache>
                <c:ptCount val="1"/>
                <c:pt idx="0">
                  <c:v>Ajuste</c:v>
                </c:pt>
              </c:strCache>
            </c:strRef>
          </c:tx>
          <c:spPr>
            <a:ln w="19050" cap="rnd">
              <a:solidFill>
                <a:schemeClr val="tx1"/>
              </a:solidFill>
              <a:prstDash val="sysDash"/>
              <a:round/>
            </a:ln>
            <a:effectLst/>
          </c:spPr>
          <c:marker>
            <c:symbol val="none"/>
          </c:marker>
          <c:cat>
            <c:multiLvlStrRef>
              <c:f>'GA2'!$B$2:$C$59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'GA2'!$E$2:$E$59</c:f>
              <c:numCache>
                <c:formatCode>General</c:formatCode>
                <c:ptCount val="58"/>
                <c:pt idx="0">
                  <c:v>-2.0163493799999999</c:v>
                </c:pt>
                <c:pt idx="1">
                  <c:v>-2.88485879</c:v>
                </c:pt>
                <c:pt idx="2">
                  <c:v>-10.1099785</c:v>
                </c:pt>
                <c:pt idx="3">
                  <c:v>-32.720676900000001</c:v>
                </c:pt>
                <c:pt idx="4">
                  <c:v>-28.4791174</c:v>
                </c:pt>
                <c:pt idx="5">
                  <c:v>-18.242165700000001</c:v>
                </c:pt>
                <c:pt idx="6">
                  <c:v>-10.0837731</c:v>
                </c:pt>
                <c:pt idx="7">
                  <c:v>-7.5198215599999996</c:v>
                </c:pt>
                <c:pt idx="8">
                  <c:v>-4.87404846</c:v>
                </c:pt>
                <c:pt idx="9">
                  <c:v>-2.4751245000000002</c:v>
                </c:pt>
                <c:pt idx="10">
                  <c:v>2.3570500000000001E-2</c:v>
                </c:pt>
                <c:pt idx="11">
                  <c:v>-0.78306905999999998</c:v>
                </c:pt>
                <c:pt idx="12">
                  <c:v>-0.95569130999999996</c:v>
                </c:pt>
                <c:pt idx="13">
                  <c:v>-3.32876817</c:v>
                </c:pt>
                <c:pt idx="14">
                  <c:v>6.1009064500000001</c:v>
                </c:pt>
                <c:pt idx="15">
                  <c:v>33.150858100000001</c:v>
                </c:pt>
                <c:pt idx="16">
                  <c:v>36.997681700000001</c:v>
                </c:pt>
                <c:pt idx="17">
                  <c:v>20.610837499999999</c:v>
                </c:pt>
                <c:pt idx="18">
                  <c:v>9.3894454100000004</c:v>
                </c:pt>
                <c:pt idx="19">
                  <c:v>2.7134480600000002</c:v>
                </c:pt>
                <c:pt idx="20">
                  <c:v>0.58495377999999998</c:v>
                </c:pt>
                <c:pt idx="21">
                  <c:v>-1.7881813099999999</c:v>
                </c:pt>
                <c:pt idx="22">
                  <c:v>0.68603614999999996</c:v>
                </c:pt>
                <c:pt idx="23">
                  <c:v>0.77032866</c:v>
                </c:pt>
                <c:pt idx="24">
                  <c:v>1.8704677000000001</c:v>
                </c:pt>
                <c:pt idx="25">
                  <c:v>4.7380552199999997</c:v>
                </c:pt>
                <c:pt idx="26">
                  <c:v>4.1859806400000004</c:v>
                </c:pt>
                <c:pt idx="27">
                  <c:v>4.9293472300000003</c:v>
                </c:pt>
                <c:pt idx="28">
                  <c:v>6.4854848199999999</c:v>
                </c:pt>
                <c:pt idx="29">
                  <c:v>5.7143629100000002</c:v>
                </c:pt>
                <c:pt idx="30">
                  <c:v>4.99736315</c:v>
                </c:pt>
                <c:pt idx="31">
                  <c:v>4.5637503400000003</c:v>
                </c:pt>
                <c:pt idx="32">
                  <c:v>5.7723907499999996</c:v>
                </c:pt>
                <c:pt idx="33">
                  <c:v>5.6607161799999997</c:v>
                </c:pt>
                <c:pt idx="34">
                  <c:v>4.7501065499999999</c:v>
                </c:pt>
                <c:pt idx="35">
                  <c:v>4.34267191</c:v>
                </c:pt>
                <c:pt idx="36">
                  <c:v>6.5441106700000002</c:v>
                </c:pt>
                <c:pt idx="37">
                  <c:v>2.3646048</c:v>
                </c:pt>
                <c:pt idx="38">
                  <c:v>2.8910356300000002</c:v>
                </c:pt>
                <c:pt idx="39">
                  <c:v>2.1803842000000002</c:v>
                </c:pt>
                <c:pt idx="40">
                  <c:v>2.9418016599999999</c:v>
                </c:pt>
                <c:pt idx="41">
                  <c:v>2.7205222500000001</c:v>
                </c:pt>
                <c:pt idx="42">
                  <c:v>3.8328947499999999</c:v>
                </c:pt>
                <c:pt idx="43">
                  <c:v>3.7687147099999998</c:v>
                </c:pt>
                <c:pt idx="44">
                  <c:v>4.3299234699999998</c:v>
                </c:pt>
                <c:pt idx="45">
                  <c:v>3.5538383599999999</c:v>
                </c:pt>
                <c:pt idx="46">
                  <c:v>5.81542973</c:v>
                </c:pt>
                <c:pt idx="47">
                  <c:v>3.7956892299999998</c:v>
                </c:pt>
                <c:pt idx="48">
                  <c:v>1.54003186</c:v>
                </c:pt>
                <c:pt idx="49">
                  <c:v>1.6996820100000001</c:v>
                </c:pt>
                <c:pt idx="50">
                  <c:v>0.84013453000000005</c:v>
                </c:pt>
                <c:pt idx="51">
                  <c:v>0.22161744</c:v>
                </c:pt>
                <c:pt idx="52">
                  <c:v>0.61148230999999997</c:v>
                </c:pt>
                <c:pt idx="53">
                  <c:v>-0.19123585000000001</c:v>
                </c:pt>
                <c:pt idx="54">
                  <c:v>0.59508908999999999</c:v>
                </c:pt>
                <c:pt idx="55">
                  <c:v>0.61979461000000002</c:v>
                </c:pt>
                <c:pt idx="56">
                  <c:v>-0.58741372999999997</c:v>
                </c:pt>
              </c:numCache>
            </c:numRef>
          </c:val>
          <c:smooth val="0"/>
          <c:extLst>
            <c:ext xmlns:c16="http://schemas.microsoft.com/office/drawing/2014/chart" uri="{C3380CC4-5D6E-409C-BE32-E72D297353CC}">
              <c16:uniqueId val="{00000001-F76A-4F7A-9864-2B483F55075D}"/>
            </c:ext>
          </c:extLst>
        </c:ser>
        <c:ser>
          <c:idx val="2"/>
          <c:order val="2"/>
          <c:tx>
            <c:strRef>
              <c:f>'GA2'!$F$1</c:f>
              <c:strCache>
                <c:ptCount val="1"/>
                <c:pt idx="0">
                  <c:v>Nowcasts</c:v>
                </c:pt>
              </c:strCache>
            </c:strRef>
          </c:tx>
          <c:spPr>
            <a:ln w="28575" cap="rnd">
              <a:solidFill>
                <a:srgbClr val="C00000"/>
              </a:solidFill>
              <a:round/>
            </a:ln>
            <a:effectLst/>
          </c:spPr>
          <c:marker>
            <c:symbol val="none"/>
          </c:marker>
          <c:cat>
            <c:multiLvlStrRef>
              <c:f>'GA2'!$B$2:$C$59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'GA2'!$F$2:$F$59</c:f>
              <c:numCache>
                <c:formatCode>General</c:formatCode>
                <c:ptCount val="58"/>
                <c:pt idx="56">
                  <c:v>-1.4897779999999999E-2</c:v>
                </c:pt>
                <c:pt idx="57">
                  <c:v>-1.3008084</c:v>
                </c:pt>
              </c:numCache>
            </c:numRef>
          </c:val>
          <c:smooth val="0"/>
          <c:extLst>
            <c:ext xmlns:c16="http://schemas.microsoft.com/office/drawing/2014/chart" uri="{C3380CC4-5D6E-409C-BE32-E72D297353CC}">
              <c16:uniqueId val="{00000002-F76A-4F7A-9864-2B483F55075D}"/>
            </c:ext>
          </c:extLst>
        </c:ser>
        <c:ser>
          <c:idx val="3"/>
          <c:order val="3"/>
          <c:tx>
            <c:strRef>
              <c:f>'GA2'!$G$1</c:f>
              <c:strCache>
                <c:ptCount val="1"/>
                <c:pt idx="0">
                  <c:v>Inferior</c:v>
                </c:pt>
              </c:strCache>
            </c:strRef>
          </c:tx>
          <c:spPr>
            <a:ln w="19050" cap="rnd">
              <a:solidFill>
                <a:srgbClr val="00B050"/>
              </a:solidFill>
              <a:prstDash val="sysDash"/>
              <a:round/>
            </a:ln>
            <a:effectLst/>
          </c:spPr>
          <c:marker>
            <c:symbol val="none"/>
          </c:marker>
          <c:dPt>
            <c:idx val="10"/>
            <c:marker>
              <c:symbol val="none"/>
            </c:marker>
            <c:bubble3D val="0"/>
            <c:extLst>
              <c:ext xmlns:c16="http://schemas.microsoft.com/office/drawing/2014/chart" uri="{C3380CC4-5D6E-409C-BE32-E72D297353CC}">
                <c16:uniqueId val="{00000003-F76A-4F7A-9864-2B483F55075D}"/>
              </c:ext>
            </c:extLst>
          </c:dPt>
          <c:dPt>
            <c:idx val="11"/>
            <c:marker>
              <c:symbol val="none"/>
            </c:marker>
            <c:bubble3D val="0"/>
            <c:extLst>
              <c:ext xmlns:c16="http://schemas.microsoft.com/office/drawing/2014/chart" uri="{C3380CC4-5D6E-409C-BE32-E72D297353CC}">
                <c16:uniqueId val="{00000004-F76A-4F7A-9864-2B483F55075D}"/>
              </c:ext>
            </c:extLst>
          </c:dPt>
          <c:cat>
            <c:multiLvlStrRef>
              <c:f>'GA2'!$B$2:$C$59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'GA2'!$G$2:$G$59</c:f>
              <c:numCache>
                <c:formatCode>General</c:formatCode>
                <c:ptCount val="58"/>
                <c:pt idx="56">
                  <c:v>-1.4897779999999999E-2</c:v>
                </c:pt>
                <c:pt idx="57">
                  <c:v>-3.6876918000000001</c:v>
                </c:pt>
              </c:numCache>
            </c:numRef>
          </c:val>
          <c:smooth val="0"/>
          <c:extLst>
            <c:ext xmlns:c16="http://schemas.microsoft.com/office/drawing/2014/chart" uri="{C3380CC4-5D6E-409C-BE32-E72D297353CC}">
              <c16:uniqueId val="{00000005-F76A-4F7A-9864-2B483F55075D}"/>
            </c:ext>
          </c:extLst>
        </c:ser>
        <c:ser>
          <c:idx val="4"/>
          <c:order val="4"/>
          <c:tx>
            <c:strRef>
              <c:f>'GA2'!$H$1</c:f>
              <c:strCache>
                <c:ptCount val="1"/>
                <c:pt idx="0">
                  <c:v>Superior</c:v>
                </c:pt>
              </c:strCache>
            </c:strRef>
          </c:tx>
          <c:spPr>
            <a:ln w="19050" cap="rnd">
              <a:solidFill>
                <a:srgbClr val="00B050"/>
              </a:solidFill>
              <a:prstDash val="sysDash"/>
              <a:round/>
            </a:ln>
            <a:effectLst/>
          </c:spPr>
          <c:marker>
            <c:symbol val="none"/>
          </c:marker>
          <c:dPt>
            <c:idx val="10"/>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F76A-4F7A-9864-2B483F55075D}"/>
              </c:ext>
            </c:extLst>
          </c:dPt>
          <c:dPt>
            <c:idx val="11"/>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F76A-4F7A-9864-2B483F55075D}"/>
              </c:ext>
            </c:extLst>
          </c:dPt>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F76A-4F7A-9864-2B483F55075D}"/>
              </c:ext>
            </c:extLst>
          </c:dPt>
          <c:cat>
            <c:multiLvlStrRef>
              <c:f>'GA2'!$B$2:$C$59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'GA2'!$H$2:$H$59</c:f>
              <c:numCache>
                <c:formatCode>General</c:formatCode>
                <c:ptCount val="58"/>
                <c:pt idx="56">
                  <c:v>-1.4897779999999999E-2</c:v>
                </c:pt>
                <c:pt idx="57">
                  <c:v>1.0860749999999999</c:v>
                </c:pt>
              </c:numCache>
            </c:numRef>
          </c:val>
          <c:smooth val="0"/>
          <c:extLst>
            <c:ext xmlns:c16="http://schemas.microsoft.com/office/drawing/2014/chart" uri="{C3380CC4-5D6E-409C-BE32-E72D297353CC}">
              <c16:uniqueId val="{0000000C-F76A-4F7A-9864-2B483F55075D}"/>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3175" cap="flat" cmpd="sng" algn="ctr">
            <a:solidFill>
              <a:schemeClr val="tx1"/>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50"/>
        <c:tickLblSkip val="1"/>
        <c:tickMarkSkip val="1"/>
        <c:noMultiLvlLbl val="0"/>
      </c:catAx>
      <c:valAx>
        <c:axId val="490943808"/>
        <c:scaling>
          <c:orientation val="minMax"/>
          <c:max val="50"/>
          <c:min val="-40"/>
        </c:scaling>
        <c:delete val="0"/>
        <c:axPos val="l"/>
        <c:majorGridlines>
          <c:spPr>
            <a:ln w="317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sz="900"/>
                  <a:t>%</a:t>
                </a:r>
              </a:p>
            </c:rich>
          </c:tx>
          <c:layout>
            <c:manualLayout>
              <c:xMode val="edge"/>
              <c:yMode val="edge"/>
              <c:x val="9.7309150714970996E-3"/>
              <c:y val="0.4212830553421398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out"/>
        <c:minorTickMark val="none"/>
        <c:tickLblPos val="nextTo"/>
        <c:spPr>
          <a:noFill/>
          <a:ln w="31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w="3175">
          <a:solidFill>
            <a:sysClr val="windowText" lastClr="000000"/>
          </a:solidFill>
        </a:ln>
        <a:effectLst/>
      </c:spPr>
    </c:plotArea>
    <c:legend>
      <c:legendPos val="b"/>
      <c:layout>
        <c:manualLayout>
          <c:xMode val="edge"/>
          <c:yMode val="edge"/>
          <c:x val="0"/>
          <c:y val="0.92222835905622058"/>
          <c:w val="1"/>
          <c:h val="7.48170634920634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3175" cap="flat" cmpd="sng" algn="ctr">
      <a:solidFill>
        <a:schemeClr val="tx1"/>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789614859091896E-2"/>
          <c:y val="5.3921219776896116E-2"/>
          <c:w val="0.90070525267121693"/>
          <c:h val="0.74311028875406993"/>
        </c:manualLayout>
      </c:layout>
      <c:lineChart>
        <c:grouping val="standard"/>
        <c:varyColors val="0"/>
        <c:ser>
          <c:idx val="0"/>
          <c:order val="0"/>
          <c:tx>
            <c:strRef>
              <c:f>'GA3'!$D$1</c:f>
              <c:strCache>
                <c:ptCount val="1"/>
                <c:pt idx="0">
                  <c:v>IGAE</c:v>
                </c:pt>
              </c:strCache>
            </c:strRef>
          </c:tx>
          <c:spPr>
            <a:ln w="19050" cap="rnd">
              <a:solidFill>
                <a:schemeClr val="accent1">
                  <a:lumMod val="75000"/>
                </a:schemeClr>
              </a:solidFill>
              <a:round/>
            </a:ln>
            <a:effectLst/>
          </c:spPr>
          <c:marker>
            <c:symbol val="none"/>
          </c:marker>
          <c:cat>
            <c:multiLvlStrRef>
              <c:f>'GA3'!$B$2:$C$59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'GA3'!$D$2:$D$59</c:f>
              <c:numCache>
                <c:formatCode>General</c:formatCode>
                <c:ptCount val="58"/>
                <c:pt idx="0">
                  <c:v>0.59815001999999995</c:v>
                </c:pt>
                <c:pt idx="1">
                  <c:v>-9.5319200000000007E-2</c:v>
                </c:pt>
                <c:pt idx="2">
                  <c:v>-3.3193321999999998</c:v>
                </c:pt>
                <c:pt idx="3">
                  <c:v>-19.092017599999998</c:v>
                </c:pt>
                <c:pt idx="4">
                  <c:v>-21.2670101</c:v>
                </c:pt>
                <c:pt idx="5">
                  <c:v>-15.1779454</c:v>
                </c:pt>
                <c:pt idx="6">
                  <c:v>-10.8756906</c:v>
                </c:pt>
                <c:pt idx="7">
                  <c:v>-8.5689313499999997</c:v>
                </c:pt>
                <c:pt idx="8">
                  <c:v>-6.6048879600000001</c:v>
                </c:pt>
                <c:pt idx="9">
                  <c:v>-5.1002036100000003</c:v>
                </c:pt>
                <c:pt idx="10">
                  <c:v>-4.2893219499999997</c:v>
                </c:pt>
                <c:pt idx="11">
                  <c:v>-4.3345029300000002</c:v>
                </c:pt>
                <c:pt idx="12">
                  <c:v>-4.72849494</c:v>
                </c:pt>
                <c:pt idx="13">
                  <c:v>-4.0317579200000004</c:v>
                </c:pt>
                <c:pt idx="14">
                  <c:v>1.7476815299999999</c:v>
                </c:pt>
                <c:pt idx="15">
                  <c:v>21.2694297</c:v>
                </c:pt>
                <c:pt idx="16">
                  <c:v>24.894363299999998</c:v>
                </c:pt>
                <c:pt idx="17">
                  <c:v>15.43188</c:v>
                </c:pt>
                <c:pt idx="18">
                  <c:v>9.3227541499999997</c:v>
                </c:pt>
                <c:pt idx="19">
                  <c:v>4.6117225700000004</c:v>
                </c:pt>
                <c:pt idx="20">
                  <c:v>2.1411769600000001</c:v>
                </c:pt>
                <c:pt idx="21">
                  <c:v>1.68356511</c:v>
                </c:pt>
                <c:pt idx="22">
                  <c:v>0.88789596999999998</c:v>
                </c:pt>
                <c:pt idx="23">
                  <c:v>1.0864959000000001</c:v>
                </c:pt>
                <c:pt idx="24">
                  <c:v>1.1776992100000001</c:v>
                </c:pt>
                <c:pt idx="25">
                  <c:v>2.19945491</c:v>
                </c:pt>
                <c:pt idx="26">
                  <c:v>0.46742635999999999</c:v>
                </c:pt>
                <c:pt idx="27">
                  <c:v>1.91771102</c:v>
                </c:pt>
                <c:pt idx="28">
                  <c:v>1.40937676</c:v>
                </c:pt>
                <c:pt idx="29">
                  <c:v>1.74428133</c:v>
                </c:pt>
                <c:pt idx="30">
                  <c:v>3.0806825400000002</c:v>
                </c:pt>
                <c:pt idx="31">
                  <c:v>4.8716093999999996</c:v>
                </c:pt>
                <c:pt idx="32">
                  <c:v>4.9048418299999996</c:v>
                </c:pt>
                <c:pt idx="33">
                  <c:v>4.8828265899999996</c:v>
                </c:pt>
                <c:pt idx="34">
                  <c:v>4.0966577099999997</c:v>
                </c:pt>
                <c:pt idx="35">
                  <c:v>4.6154284499999996</c:v>
                </c:pt>
                <c:pt idx="36">
                  <c:v>5.14602161</c:v>
                </c:pt>
                <c:pt idx="37">
                  <c:v>3.3785014200000001</c:v>
                </c:pt>
                <c:pt idx="38">
                  <c:v>2.8281712099999998</c:v>
                </c:pt>
                <c:pt idx="39">
                  <c:v>3.4999395500000001</c:v>
                </c:pt>
                <c:pt idx="40">
                  <c:v>3.4839725700000002</c:v>
                </c:pt>
                <c:pt idx="41">
                  <c:v>3.7375308500000002</c:v>
                </c:pt>
                <c:pt idx="42">
                  <c:v>2.8181132500000001</c:v>
                </c:pt>
                <c:pt idx="43">
                  <c:v>3.1048029499999998</c:v>
                </c:pt>
                <c:pt idx="44">
                  <c:v>3.8514644599999999</c:v>
                </c:pt>
                <c:pt idx="45">
                  <c:v>2.5828199500000002</c:v>
                </c:pt>
                <c:pt idx="46">
                  <c:v>3.1185372899999999</c:v>
                </c:pt>
                <c:pt idx="47">
                  <c:v>2.49477569</c:v>
                </c:pt>
                <c:pt idx="48">
                  <c:v>1.25860916</c:v>
                </c:pt>
                <c:pt idx="49">
                  <c:v>3.10108959</c:v>
                </c:pt>
                <c:pt idx="50">
                  <c:v>3.8241676500000001</c:v>
                </c:pt>
                <c:pt idx="51">
                  <c:v>1.3011783800000001</c:v>
                </c:pt>
                <c:pt idx="52">
                  <c:v>2.2330282000000001</c:v>
                </c:pt>
                <c:pt idx="53">
                  <c:v>1.8523335000000001</c:v>
                </c:pt>
                <c:pt idx="54">
                  <c:v>2.1921732899999999</c:v>
                </c:pt>
                <c:pt idx="55">
                  <c:v>2.1673192700000001</c:v>
                </c:pt>
              </c:numCache>
            </c:numRef>
          </c:val>
          <c:smooth val="0"/>
          <c:extLst>
            <c:ext xmlns:c16="http://schemas.microsoft.com/office/drawing/2014/chart" uri="{C3380CC4-5D6E-409C-BE32-E72D297353CC}">
              <c16:uniqueId val="{00000000-4D1E-4820-8CFB-B0FD4B712434}"/>
            </c:ext>
          </c:extLst>
        </c:ser>
        <c:ser>
          <c:idx val="1"/>
          <c:order val="1"/>
          <c:tx>
            <c:strRef>
              <c:f>'GA3'!$E$1</c:f>
              <c:strCache>
                <c:ptCount val="1"/>
                <c:pt idx="0">
                  <c:v>Ajuste</c:v>
                </c:pt>
              </c:strCache>
            </c:strRef>
          </c:tx>
          <c:spPr>
            <a:ln w="19050" cap="rnd">
              <a:solidFill>
                <a:schemeClr val="tx1"/>
              </a:solidFill>
              <a:prstDash val="sysDash"/>
              <a:round/>
            </a:ln>
            <a:effectLst/>
          </c:spPr>
          <c:marker>
            <c:symbol val="none"/>
          </c:marker>
          <c:cat>
            <c:multiLvlStrRef>
              <c:f>'GA3'!$B$2:$C$59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'GA3'!$E$2:$E$59</c:f>
              <c:numCache>
                <c:formatCode>General</c:formatCode>
                <c:ptCount val="58"/>
                <c:pt idx="0">
                  <c:v>0.35388900000000001</c:v>
                </c:pt>
                <c:pt idx="1">
                  <c:v>-0.43176023000000002</c:v>
                </c:pt>
                <c:pt idx="2">
                  <c:v>-4.7352373999999999</c:v>
                </c:pt>
                <c:pt idx="3">
                  <c:v>-19.577561299999999</c:v>
                </c:pt>
                <c:pt idx="4">
                  <c:v>-19.646403800000002</c:v>
                </c:pt>
                <c:pt idx="5">
                  <c:v>-14.4894053</c:v>
                </c:pt>
                <c:pt idx="6">
                  <c:v>-10.856842500000001</c:v>
                </c:pt>
                <c:pt idx="7">
                  <c:v>-9.1006418799999995</c:v>
                </c:pt>
                <c:pt idx="8">
                  <c:v>-7.72215981</c:v>
                </c:pt>
                <c:pt idx="9">
                  <c:v>-5.0729637199999997</c:v>
                </c:pt>
                <c:pt idx="10">
                  <c:v>-3.8576238200000001</c:v>
                </c:pt>
                <c:pt idx="11">
                  <c:v>-2.7815946600000001</c:v>
                </c:pt>
                <c:pt idx="12">
                  <c:v>-4.2783421400000003</c:v>
                </c:pt>
                <c:pt idx="13">
                  <c:v>-4.5855076600000002</c:v>
                </c:pt>
                <c:pt idx="14">
                  <c:v>2.0127964</c:v>
                </c:pt>
                <c:pt idx="15">
                  <c:v>20.611409900000002</c:v>
                </c:pt>
                <c:pt idx="16">
                  <c:v>25.405152399999999</c:v>
                </c:pt>
                <c:pt idx="17">
                  <c:v>14.8536582</c:v>
                </c:pt>
                <c:pt idx="18">
                  <c:v>10.636296400000001</c:v>
                </c:pt>
                <c:pt idx="19">
                  <c:v>6.0887630699999997</c:v>
                </c:pt>
                <c:pt idx="20">
                  <c:v>3.3806113400000002</c:v>
                </c:pt>
                <c:pt idx="21">
                  <c:v>2.40433728</c:v>
                </c:pt>
                <c:pt idx="22">
                  <c:v>1.3521753599999999</c:v>
                </c:pt>
                <c:pt idx="23">
                  <c:v>1.8947320700000001</c:v>
                </c:pt>
                <c:pt idx="24">
                  <c:v>1.13158431</c:v>
                </c:pt>
                <c:pt idx="25">
                  <c:v>2.8268429500000001</c:v>
                </c:pt>
                <c:pt idx="26">
                  <c:v>1.5771389</c:v>
                </c:pt>
                <c:pt idx="27">
                  <c:v>1.47568056</c:v>
                </c:pt>
                <c:pt idx="28">
                  <c:v>1.8995850299999999</c:v>
                </c:pt>
                <c:pt idx="29">
                  <c:v>1.0158909300000001</c:v>
                </c:pt>
                <c:pt idx="30">
                  <c:v>2.2756921600000002</c:v>
                </c:pt>
                <c:pt idx="31">
                  <c:v>3.5785252500000002</c:v>
                </c:pt>
                <c:pt idx="32">
                  <c:v>4.7189597599999997</c:v>
                </c:pt>
                <c:pt idx="33">
                  <c:v>5.0822502900000002</c:v>
                </c:pt>
                <c:pt idx="34">
                  <c:v>3.8150484200000001</c:v>
                </c:pt>
                <c:pt idx="35">
                  <c:v>3.8914986699999998</c:v>
                </c:pt>
                <c:pt idx="36">
                  <c:v>5.1946506899999996</c:v>
                </c:pt>
                <c:pt idx="37">
                  <c:v>3.7336258500000001</c:v>
                </c:pt>
                <c:pt idx="38">
                  <c:v>3.2622257600000002</c:v>
                </c:pt>
                <c:pt idx="39">
                  <c:v>3.08279828</c:v>
                </c:pt>
                <c:pt idx="40">
                  <c:v>3.2425433400000001</c:v>
                </c:pt>
                <c:pt idx="41">
                  <c:v>3.6241046899999998</c:v>
                </c:pt>
                <c:pt idx="42">
                  <c:v>3.2612180899999998</c:v>
                </c:pt>
                <c:pt idx="43">
                  <c:v>3.48108408</c:v>
                </c:pt>
                <c:pt idx="44">
                  <c:v>3.2650824100000002</c:v>
                </c:pt>
                <c:pt idx="45">
                  <c:v>3.1214351900000001</c:v>
                </c:pt>
                <c:pt idx="46">
                  <c:v>2.4626183699999999</c:v>
                </c:pt>
                <c:pt idx="47">
                  <c:v>2.83612178</c:v>
                </c:pt>
                <c:pt idx="48">
                  <c:v>1.37598595</c:v>
                </c:pt>
                <c:pt idx="49">
                  <c:v>2.3242114800000002</c:v>
                </c:pt>
                <c:pt idx="50">
                  <c:v>3.1111513199999998</c:v>
                </c:pt>
                <c:pt idx="51">
                  <c:v>2.06666119</c:v>
                </c:pt>
                <c:pt idx="52">
                  <c:v>2.26411586</c:v>
                </c:pt>
                <c:pt idx="53">
                  <c:v>1.7466532699999999</c:v>
                </c:pt>
                <c:pt idx="54">
                  <c:v>1.5597912300000001</c:v>
                </c:pt>
                <c:pt idx="55">
                  <c:v>2.1448650200000001</c:v>
                </c:pt>
              </c:numCache>
            </c:numRef>
          </c:val>
          <c:smooth val="0"/>
          <c:extLst>
            <c:ext xmlns:c16="http://schemas.microsoft.com/office/drawing/2014/chart" uri="{C3380CC4-5D6E-409C-BE32-E72D297353CC}">
              <c16:uniqueId val="{00000001-4D1E-4820-8CFB-B0FD4B712434}"/>
            </c:ext>
          </c:extLst>
        </c:ser>
        <c:ser>
          <c:idx val="2"/>
          <c:order val="2"/>
          <c:tx>
            <c:strRef>
              <c:f>'GA3'!$F$1</c:f>
              <c:strCache>
                <c:ptCount val="1"/>
                <c:pt idx="0">
                  <c:v>Nowcasts</c:v>
                </c:pt>
              </c:strCache>
            </c:strRef>
          </c:tx>
          <c:spPr>
            <a:ln w="28575" cap="rnd">
              <a:solidFill>
                <a:srgbClr val="C00000"/>
              </a:solidFill>
              <a:round/>
            </a:ln>
            <a:effectLst/>
          </c:spPr>
          <c:marker>
            <c:symbol val="none"/>
          </c:marker>
          <c:cat>
            <c:multiLvlStrRef>
              <c:f>'GA3'!$B$2:$C$59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'GA3'!$F$2:$F$59</c:f>
              <c:numCache>
                <c:formatCode>General</c:formatCode>
                <c:ptCount val="58"/>
                <c:pt idx="55" formatCode="0.00000000">
                  <c:v>2.1673192700000001</c:v>
                </c:pt>
                <c:pt idx="56">
                  <c:v>0.3779902</c:v>
                </c:pt>
                <c:pt idx="57">
                  <c:v>1.0561822999999999</c:v>
                </c:pt>
              </c:numCache>
            </c:numRef>
          </c:val>
          <c:smooth val="0"/>
          <c:extLst>
            <c:ext xmlns:c16="http://schemas.microsoft.com/office/drawing/2014/chart" uri="{C3380CC4-5D6E-409C-BE32-E72D297353CC}">
              <c16:uniqueId val="{00000002-4D1E-4820-8CFB-B0FD4B712434}"/>
            </c:ext>
          </c:extLst>
        </c:ser>
        <c:ser>
          <c:idx val="3"/>
          <c:order val="3"/>
          <c:tx>
            <c:strRef>
              <c:f>'GA3'!$G$1</c:f>
              <c:strCache>
                <c:ptCount val="1"/>
                <c:pt idx="0">
                  <c:v>Inferior</c:v>
                </c:pt>
              </c:strCache>
            </c:strRef>
          </c:tx>
          <c:spPr>
            <a:ln w="19050" cap="rnd">
              <a:solidFill>
                <a:srgbClr val="00B050"/>
              </a:solidFill>
              <a:prstDash val="sysDash"/>
              <a:round/>
            </a:ln>
            <a:effectLst/>
          </c:spPr>
          <c:marker>
            <c:symbol val="none"/>
          </c:marker>
          <c:dPt>
            <c:idx val="10"/>
            <c:marker>
              <c:symbol val="none"/>
            </c:marker>
            <c:bubble3D val="0"/>
            <c:extLst>
              <c:ext xmlns:c16="http://schemas.microsoft.com/office/drawing/2014/chart" uri="{C3380CC4-5D6E-409C-BE32-E72D297353CC}">
                <c16:uniqueId val="{00000003-4D1E-4820-8CFB-B0FD4B712434}"/>
              </c:ext>
            </c:extLst>
          </c:dPt>
          <c:dPt>
            <c:idx val="11"/>
            <c:marker>
              <c:symbol val="none"/>
            </c:marker>
            <c:bubble3D val="0"/>
            <c:extLst>
              <c:ext xmlns:c16="http://schemas.microsoft.com/office/drawing/2014/chart" uri="{C3380CC4-5D6E-409C-BE32-E72D297353CC}">
                <c16:uniqueId val="{00000004-4D1E-4820-8CFB-B0FD4B712434}"/>
              </c:ext>
            </c:extLst>
          </c:dPt>
          <c:cat>
            <c:multiLvlStrRef>
              <c:f>'GA3'!$B$2:$C$59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'GA3'!$G$2:$G$59</c:f>
              <c:numCache>
                <c:formatCode>General</c:formatCode>
                <c:ptCount val="58"/>
                <c:pt idx="55" formatCode="0.00000000">
                  <c:v>2.1673192700000001</c:v>
                </c:pt>
                <c:pt idx="56">
                  <c:v>-0.74039699999999997</c:v>
                </c:pt>
                <c:pt idx="57">
                  <c:v>-6.2010299999999997E-2</c:v>
                </c:pt>
              </c:numCache>
            </c:numRef>
          </c:val>
          <c:smooth val="0"/>
          <c:extLst>
            <c:ext xmlns:c16="http://schemas.microsoft.com/office/drawing/2014/chart" uri="{C3380CC4-5D6E-409C-BE32-E72D297353CC}">
              <c16:uniqueId val="{00000005-4D1E-4820-8CFB-B0FD4B712434}"/>
            </c:ext>
          </c:extLst>
        </c:ser>
        <c:ser>
          <c:idx val="4"/>
          <c:order val="4"/>
          <c:tx>
            <c:strRef>
              <c:f>'GA3'!$H$1</c:f>
              <c:strCache>
                <c:ptCount val="1"/>
                <c:pt idx="0">
                  <c:v>Superior</c:v>
                </c:pt>
              </c:strCache>
            </c:strRef>
          </c:tx>
          <c:spPr>
            <a:ln w="19050" cap="rnd">
              <a:solidFill>
                <a:srgbClr val="00B050"/>
              </a:solidFill>
              <a:prstDash val="sysDash"/>
              <a:round/>
            </a:ln>
            <a:effectLst/>
          </c:spPr>
          <c:marker>
            <c:symbol val="none"/>
          </c:marker>
          <c:dPt>
            <c:idx val="10"/>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4D1E-4820-8CFB-B0FD4B712434}"/>
              </c:ext>
            </c:extLst>
          </c:dPt>
          <c:dPt>
            <c:idx val="11"/>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4D1E-4820-8CFB-B0FD4B712434}"/>
              </c:ext>
            </c:extLst>
          </c:dPt>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4D1E-4820-8CFB-B0FD4B712434}"/>
              </c:ext>
            </c:extLst>
          </c:dPt>
          <c:cat>
            <c:multiLvlStrRef>
              <c:f>'GA3'!$B$2:$C$59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'GA3'!$H$2:$H$59</c:f>
              <c:numCache>
                <c:formatCode>General</c:formatCode>
                <c:ptCount val="58"/>
                <c:pt idx="55" formatCode="0.00000000">
                  <c:v>2.1673192700000001</c:v>
                </c:pt>
                <c:pt idx="56">
                  <c:v>1.4963774999999999</c:v>
                </c:pt>
                <c:pt idx="57">
                  <c:v>2.1743749999999999</c:v>
                </c:pt>
              </c:numCache>
            </c:numRef>
          </c:val>
          <c:smooth val="0"/>
          <c:extLst>
            <c:ext xmlns:c16="http://schemas.microsoft.com/office/drawing/2014/chart" uri="{C3380CC4-5D6E-409C-BE32-E72D297353CC}">
              <c16:uniqueId val="{0000000C-4D1E-4820-8CFB-B0FD4B712434}"/>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3175" cap="flat" cmpd="sng" algn="ctr">
            <a:solidFill>
              <a:schemeClr val="tx1"/>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50"/>
        <c:tickLblSkip val="1"/>
        <c:tickMarkSkip val="1"/>
        <c:noMultiLvlLbl val="0"/>
      </c:catAx>
      <c:valAx>
        <c:axId val="490943808"/>
        <c:scaling>
          <c:orientation val="minMax"/>
          <c:max val="30"/>
          <c:min val="-30"/>
        </c:scaling>
        <c:delete val="0"/>
        <c:axPos val="l"/>
        <c:majorGridlines>
          <c:spPr>
            <a:ln w="317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sz="900"/>
                  <a:t>%</a:t>
                </a:r>
              </a:p>
            </c:rich>
          </c:tx>
          <c:layout>
            <c:manualLayout>
              <c:xMode val="edge"/>
              <c:yMode val="edge"/>
              <c:x val="4.8960014125156827E-3"/>
              <c:y val="0.3530864776280913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out"/>
        <c:minorTickMark val="none"/>
        <c:tickLblPos val="nextTo"/>
        <c:spPr>
          <a:noFill/>
          <a:ln w="31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w="3175">
          <a:solidFill>
            <a:sysClr val="windowText" lastClr="000000"/>
          </a:solidFill>
        </a:ln>
        <a:effectLst/>
      </c:spPr>
    </c:plotArea>
    <c:legend>
      <c:legendPos val="b"/>
      <c:layout>
        <c:manualLayout>
          <c:xMode val="edge"/>
          <c:yMode val="edge"/>
          <c:x val="0"/>
          <c:y val="0.92222835905622058"/>
          <c:w val="0.99760719014607901"/>
          <c:h val="6.696477532957610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3175" cap="flat" cmpd="sng" algn="ctr">
      <a:solidFill>
        <a:schemeClr val="tx1"/>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123205641924701E-2"/>
          <c:y val="5.3836958008151248E-2"/>
          <c:w val="0.90244218298339529"/>
          <c:h val="0.73283958994274545"/>
        </c:manualLayout>
      </c:layout>
      <c:lineChart>
        <c:grouping val="standard"/>
        <c:varyColors val="0"/>
        <c:ser>
          <c:idx val="0"/>
          <c:order val="0"/>
          <c:tx>
            <c:strRef>
              <c:f>IGAE_vm!$D$1</c:f>
              <c:strCache>
                <c:ptCount val="1"/>
                <c:pt idx="0">
                  <c:v>IGAE</c:v>
                </c:pt>
              </c:strCache>
            </c:strRef>
          </c:tx>
          <c:spPr>
            <a:ln w="19050" cap="rnd">
              <a:solidFill>
                <a:schemeClr val="accent1">
                  <a:lumMod val="75000"/>
                </a:schemeClr>
              </a:solidFill>
              <a:round/>
            </a:ln>
            <a:effectLst/>
          </c:spPr>
          <c:marker>
            <c:symbol val="none"/>
          </c:marker>
          <c:cat>
            <c:multiLvlStrRef>
              <c:f>IGAE_vm!$B$2:$C$59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IGAE_vm!$D$2:$D$59</c:f>
              <c:numCache>
                <c:formatCode>General</c:formatCode>
                <c:ptCount val="58"/>
                <c:pt idx="0">
                  <c:v>0.87068559999999995</c:v>
                </c:pt>
                <c:pt idx="1">
                  <c:v>-0.98759883000000004</c:v>
                </c:pt>
                <c:pt idx="2">
                  <c:v>-3.3675528199999998</c:v>
                </c:pt>
                <c:pt idx="3">
                  <c:v>-18.812995699999998</c:v>
                </c:pt>
                <c:pt idx="4">
                  <c:v>-1.9354967700000001</c:v>
                </c:pt>
                <c:pt idx="5">
                  <c:v>11.861314999999999</c:v>
                </c:pt>
                <c:pt idx="6">
                  <c:v>5.1218820899999997</c:v>
                </c:pt>
                <c:pt idx="7">
                  <c:v>2.9329641099999999</c:v>
                </c:pt>
                <c:pt idx="8">
                  <c:v>2.69815111</c:v>
                </c:pt>
                <c:pt idx="9">
                  <c:v>1.07018287</c:v>
                </c:pt>
                <c:pt idx="10">
                  <c:v>0.79414357999999996</c:v>
                </c:pt>
                <c:pt idx="11">
                  <c:v>-0.32937501000000002</c:v>
                </c:pt>
                <c:pt idx="12">
                  <c:v>2.7943280000000001E-2</c:v>
                </c:pt>
                <c:pt idx="13">
                  <c:v>-0.52210973999999999</c:v>
                </c:pt>
                <c:pt idx="14">
                  <c:v>1.81550324</c:v>
                </c:pt>
                <c:pt idx="15">
                  <c:v>-0.16954278</c:v>
                </c:pt>
                <c:pt idx="16">
                  <c:v>1.019109E-2</c:v>
                </c:pt>
                <c:pt idx="17">
                  <c:v>-0.16306941</c:v>
                </c:pt>
                <c:pt idx="18">
                  <c:v>-0.30585911999999998</c:v>
                </c:pt>
                <c:pt idx="19">
                  <c:v>-0.77712490999999995</c:v>
                </c:pt>
                <c:pt idx="20">
                  <c:v>-0.11521607</c:v>
                </c:pt>
                <c:pt idx="21">
                  <c:v>0.73053268999999998</c:v>
                </c:pt>
                <c:pt idx="22">
                  <c:v>0.57160887000000005</c:v>
                </c:pt>
                <c:pt idx="23">
                  <c:v>0.59937415999999999</c:v>
                </c:pt>
                <c:pt idx="24">
                  <c:v>0.58647813999999998</c:v>
                </c:pt>
                <c:pt idx="25">
                  <c:v>0.42358826999999999</c:v>
                </c:pt>
                <c:pt idx="26">
                  <c:v>0.28556765000000001</c:v>
                </c:pt>
                <c:pt idx="27">
                  <c:v>0.95624589999999998</c:v>
                </c:pt>
                <c:pt idx="28">
                  <c:v>-0.20508897000000001</c:v>
                </c:pt>
                <c:pt idx="29">
                  <c:v>-0.30191317000000001</c:v>
                </c:pt>
                <c:pt idx="30">
                  <c:v>0.66512932999999996</c:v>
                </c:pt>
                <c:pt idx="31">
                  <c:v>0.46985444999999998</c:v>
                </c:pt>
                <c:pt idx="32">
                  <c:v>0.24308537999999999</c:v>
                </c:pt>
                <c:pt idx="33">
                  <c:v>0.32571291000000002</c:v>
                </c:pt>
                <c:pt idx="34">
                  <c:v>0.31214397999999999</c:v>
                </c:pt>
                <c:pt idx="35">
                  <c:v>0.61871346999999999</c:v>
                </c:pt>
                <c:pt idx="36">
                  <c:v>0.19498683</c:v>
                </c:pt>
                <c:pt idx="37">
                  <c:v>-0.34848677</c:v>
                </c:pt>
                <c:pt idx="38">
                  <c:v>-0.46341924000000001</c:v>
                </c:pt>
                <c:pt idx="39">
                  <c:v>1.5665175</c:v>
                </c:pt>
                <c:pt idx="40">
                  <c:v>7.1314150000000007E-2</c:v>
                </c:pt>
                <c:pt idx="41">
                  <c:v>0.44118210000000002</c:v>
                </c:pt>
                <c:pt idx="42">
                  <c:v>-0.11648124</c:v>
                </c:pt>
                <c:pt idx="43">
                  <c:v>0.63909863</c:v>
                </c:pt>
                <c:pt idx="44">
                  <c:v>0.54643335000000004</c:v>
                </c:pt>
                <c:pt idx="45">
                  <c:v>-0.14598944</c:v>
                </c:pt>
                <c:pt idx="46">
                  <c:v>-0.54790112999999996</c:v>
                </c:pt>
                <c:pt idx="47">
                  <c:v>0.10196471</c:v>
                </c:pt>
                <c:pt idx="48">
                  <c:v>-0.73559965000000005</c:v>
                </c:pt>
                <c:pt idx="49">
                  <c:v>1.24948641</c:v>
                </c:pt>
                <c:pt idx="50">
                  <c:v>3.9643419999999999E-2</c:v>
                </c:pt>
                <c:pt idx="51">
                  <c:v>-0.66190300000000002</c:v>
                </c:pt>
                <c:pt idx="52">
                  <c:v>0.75817953000000005</c:v>
                </c:pt>
                <c:pt idx="53">
                  <c:v>0.16284860000000001</c:v>
                </c:pt>
                <c:pt idx="54">
                  <c:v>0.58892062000000001</c:v>
                </c:pt>
                <c:pt idx="55">
                  <c:v>-0.30805239000000001</c:v>
                </c:pt>
              </c:numCache>
            </c:numRef>
          </c:val>
          <c:smooth val="0"/>
          <c:extLst>
            <c:ext xmlns:c16="http://schemas.microsoft.com/office/drawing/2014/chart" uri="{C3380CC4-5D6E-409C-BE32-E72D297353CC}">
              <c16:uniqueId val="{00000000-0D37-4046-B170-896B47D26D35}"/>
            </c:ext>
          </c:extLst>
        </c:ser>
        <c:ser>
          <c:idx val="1"/>
          <c:order val="1"/>
          <c:tx>
            <c:strRef>
              <c:f>IGAE_vm!$E$1</c:f>
              <c:strCache>
                <c:ptCount val="1"/>
                <c:pt idx="0">
                  <c:v>Ajuste</c:v>
                </c:pt>
              </c:strCache>
            </c:strRef>
          </c:tx>
          <c:spPr>
            <a:ln w="19050" cap="rnd">
              <a:solidFill>
                <a:schemeClr val="tx1"/>
              </a:solidFill>
              <a:prstDash val="sysDash"/>
              <a:round/>
            </a:ln>
            <a:effectLst/>
          </c:spPr>
          <c:marker>
            <c:symbol val="none"/>
          </c:marker>
          <c:cat>
            <c:multiLvlStrRef>
              <c:f>IGAE_vm!$B$2:$C$59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IGAE_vm!$E$2:$E$59</c:f>
              <c:numCache>
                <c:formatCode>General</c:formatCode>
                <c:ptCount val="58"/>
                <c:pt idx="0">
                  <c:v>0.45734057</c:v>
                </c:pt>
                <c:pt idx="1">
                  <c:v>-0.72606484999999998</c:v>
                </c:pt>
                <c:pt idx="2">
                  <c:v>-3.9681865599999999</c:v>
                </c:pt>
                <c:pt idx="3">
                  <c:v>-19.524702699999999</c:v>
                </c:pt>
                <c:pt idx="4">
                  <c:v>-0.66566106999999997</c:v>
                </c:pt>
                <c:pt idx="5">
                  <c:v>11.7729999</c:v>
                </c:pt>
                <c:pt idx="6">
                  <c:v>4.7002710900000002</c:v>
                </c:pt>
                <c:pt idx="7">
                  <c:v>2.4018882700000002</c:v>
                </c:pt>
                <c:pt idx="8">
                  <c:v>1.1938888999999999</c:v>
                </c:pt>
                <c:pt idx="9">
                  <c:v>0.54282348000000002</c:v>
                </c:pt>
                <c:pt idx="10">
                  <c:v>0.63907681999999999</c:v>
                </c:pt>
                <c:pt idx="11">
                  <c:v>0.12928371</c:v>
                </c:pt>
                <c:pt idx="12">
                  <c:v>0.23574766</c:v>
                </c:pt>
                <c:pt idx="13">
                  <c:v>-0.75419046000000001</c:v>
                </c:pt>
                <c:pt idx="14">
                  <c:v>2.5837829700000001</c:v>
                </c:pt>
                <c:pt idx="15">
                  <c:v>-0.15771879</c:v>
                </c:pt>
                <c:pt idx="16">
                  <c:v>0.42351871000000002</c:v>
                </c:pt>
                <c:pt idx="17">
                  <c:v>6.9177890000000006E-2</c:v>
                </c:pt>
                <c:pt idx="18">
                  <c:v>0.40712076000000003</c:v>
                </c:pt>
                <c:pt idx="19">
                  <c:v>-0.16746369</c:v>
                </c:pt>
                <c:pt idx="20">
                  <c:v>8.2516469999999995E-2</c:v>
                </c:pt>
                <c:pt idx="21">
                  <c:v>0.81988921000000003</c:v>
                </c:pt>
                <c:pt idx="22">
                  <c:v>1.1385502300000001</c:v>
                </c:pt>
                <c:pt idx="23">
                  <c:v>0.54068643000000005</c:v>
                </c:pt>
                <c:pt idx="24">
                  <c:v>-0.36542478</c:v>
                </c:pt>
                <c:pt idx="25">
                  <c:v>0.81492401999999997</c:v>
                </c:pt>
                <c:pt idx="26">
                  <c:v>1.3091695800000001</c:v>
                </c:pt>
                <c:pt idx="27">
                  <c:v>0.57421186999999996</c:v>
                </c:pt>
                <c:pt idx="28">
                  <c:v>0.1260751</c:v>
                </c:pt>
                <c:pt idx="29">
                  <c:v>-2.3940159999999999E-2</c:v>
                </c:pt>
                <c:pt idx="30">
                  <c:v>0.28170439000000003</c:v>
                </c:pt>
                <c:pt idx="31">
                  <c:v>0.12054995</c:v>
                </c:pt>
                <c:pt idx="32">
                  <c:v>0.27764685</c:v>
                </c:pt>
                <c:pt idx="33">
                  <c:v>1.6688649999999999E-2</c:v>
                </c:pt>
                <c:pt idx="34">
                  <c:v>-0.12197071</c:v>
                </c:pt>
                <c:pt idx="35">
                  <c:v>-9.290255E-2</c:v>
                </c:pt>
                <c:pt idx="36">
                  <c:v>1.0250544500000001</c:v>
                </c:pt>
                <c:pt idx="37">
                  <c:v>8.6186719999999994E-2</c:v>
                </c:pt>
                <c:pt idx="38">
                  <c:v>0.19309006000000001</c:v>
                </c:pt>
                <c:pt idx="39">
                  <c:v>0.89050123999999997</c:v>
                </c:pt>
                <c:pt idx="40">
                  <c:v>-1.93655E-3</c:v>
                </c:pt>
                <c:pt idx="41">
                  <c:v>0.53841192000000004</c:v>
                </c:pt>
                <c:pt idx="42">
                  <c:v>0.12602193</c:v>
                </c:pt>
                <c:pt idx="43">
                  <c:v>0.29534517999999998</c:v>
                </c:pt>
                <c:pt idx="44">
                  <c:v>0.45976030000000001</c:v>
                </c:pt>
                <c:pt idx="45">
                  <c:v>-0.36645870000000003</c:v>
                </c:pt>
                <c:pt idx="46">
                  <c:v>-4.4069669999999998E-2</c:v>
                </c:pt>
                <c:pt idx="47">
                  <c:v>-7.3939840000000007E-2</c:v>
                </c:pt>
                <c:pt idx="48">
                  <c:v>-0.60443480999999999</c:v>
                </c:pt>
                <c:pt idx="49">
                  <c:v>0.99318974999999998</c:v>
                </c:pt>
                <c:pt idx="50">
                  <c:v>9.3449969999999993E-2</c:v>
                </c:pt>
                <c:pt idx="51">
                  <c:v>-0.46104360999999999</c:v>
                </c:pt>
                <c:pt idx="52">
                  <c:v>0.71903680000000003</c:v>
                </c:pt>
                <c:pt idx="53">
                  <c:v>-0.22203466999999999</c:v>
                </c:pt>
                <c:pt idx="54">
                  <c:v>-0.12932365000000001</c:v>
                </c:pt>
                <c:pt idx="55">
                  <c:v>6.1979090000000001E-2</c:v>
                </c:pt>
              </c:numCache>
            </c:numRef>
          </c:val>
          <c:smooth val="0"/>
          <c:extLst>
            <c:ext xmlns:c16="http://schemas.microsoft.com/office/drawing/2014/chart" uri="{C3380CC4-5D6E-409C-BE32-E72D297353CC}">
              <c16:uniqueId val="{00000001-0D37-4046-B170-896B47D26D35}"/>
            </c:ext>
          </c:extLst>
        </c:ser>
        <c:ser>
          <c:idx val="2"/>
          <c:order val="2"/>
          <c:tx>
            <c:strRef>
              <c:f>IGAE_vm!$F$1</c:f>
              <c:strCache>
                <c:ptCount val="1"/>
                <c:pt idx="0">
                  <c:v>Nowcasts</c:v>
                </c:pt>
              </c:strCache>
            </c:strRef>
          </c:tx>
          <c:spPr>
            <a:ln w="28575" cap="rnd">
              <a:solidFill>
                <a:srgbClr val="C00000"/>
              </a:solidFill>
              <a:round/>
            </a:ln>
            <a:effectLst/>
          </c:spPr>
          <c:marker>
            <c:symbol val="none"/>
          </c:marker>
          <c:cat>
            <c:multiLvlStrRef>
              <c:f>IGAE_vm!$B$2:$C$59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IGAE_vm!$F$2:$F$59</c:f>
              <c:numCache>
                <c:formatCode>General</c:formatCode>
                <c:ptCount val="58"/>
                <c:pt idx="55" formatCode="0.00000000">
                  <c:v>-0.30805239000000001</c:v>
                </c:pt>
                <c:pt idx="56">
                  <c:v>-0.16728580000000001</c:v>
                </c:pt>
                <c:pt idx="57">
                  <c:v>-5.9775799999999997E-2</c:v>
                </c:pt>
              </c:numCache>
            </c:numRef>
          </c:val>
          <c:smooth val="0"/>
          <c:extLst>
            <c:ext xmlns:c16="http://schemas.microsoft.com/office/drawing/2014/chart" uri="{C3380CC4-5D6E-409C-BE32-E72D297353CC}">
              <c16:uniqueId val="{00000002-0D37-4046-B170-896B47D26D35}"/>
            </c:ext>
          </c:extLst>
        </c:ser>
        <c:ser>
          <c:idx val="3"/>
          <c:order val="3"/>
          <c:tx>
            <c:strRef>
              <c:f>IGAE_vm!$G$1</c:f>
              <c:strCache>
                <c:ptCount val="1"/>
                <c:pt idx="0">
                  <c:v>Inferior</c:v>
                </c:pt>
              </c:strCache>
            </c:strRef>
          </c:tx>
          <c:spPr>
            <a:ln w="19050" cap="rnd">
              <a:solidFill>
                <a:srgbClr val="00B050"/>
              </a:solidFill>
              <a:prstDash val="sysDash"/>
              <a:round/>
            </a:ln>
            <a:effectLst/>
          </c:spPr>
          <c:marker>
            <c:symbol val="none"/>
          </c:marker>
          <c:dPt>
            <c:idx val="10"/>
            <c:marker>
              <c:symbol val="none"/>
            </c:marker>
            <c:bubble3D val="0"/>
            <c:extLst>
              <c:ext xmlns:c16="http://schemas.microsoft.com/office/drawing/2014/chart" uri="{C3380CC4-5D6E-409C-BE32-E72D297353CC}">
                <c16:uniqueId val="{00000003-0D37-4046-B170-896B47D26D35}"/>
              </c:ext>
            </c:extLst>
          </c:dPt>
          <c:dPt>
            <c:idx val="11"/>
            <c:marker>
              <c:symbol val="none"/>
            </c:marker>
            <c:bubble3D val="0"/>
            <c:extLst>
              <c:ext xmlns:c16="http://schemas.microsoft.com/office/drawing/2014/chart" uri="{C3380CC4-5D6E-409C-BE32-E72D297353CC}">
                <c16:uniqueId val="{00000004-0D37-4046-B170-896B47D26D35}"/>
              </c:ext>
            </c:extLst>
          </c:dPt>
          <c:cat>
            <c:multiLvlStrRef>
              <c:f>IGAE_vm!$B$2:$C$59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IGAE_vm!$G$2:$G$59</c:f>
              <c:numCache>
                <c:formatCode>General</c:formatCode>
                <c:ptCount val="58"/>
                <c:pt idx="55" formatCode="0.00000000">
                  <c:v>-0.30805239000000001</c:v>
                </c:pt>
                <c:pt idx="56">
                  <c:v>-1.1040201999999999</c:v>
                </c:pt>
                <c:pt idx="57">
                  <c:v>-0.95647780000000004</c:v>
                </c:pt>
              </c:numCache>
            </c:numRef>
          </c:val>
          <c:smooth val="0"/>
          <c:extLst>
            <c:ext xmlns:c16="http://schemas.microsoft.com/office/drawing/2014/chart" uri="{C3380CC4-5D6E-409C-BE32-E72D297353CC}">
              <c16:uniqueId val="{00000005-0D37-4046-B170-896B47D26D35}"/>
            </c:ext>
          </c:extLst>
        </c:ser>
        <c:ser>
          <c:idx val="4"/>
          <c:order val="4"/>
          <c:tx>
            <c:strRef>
              <c:f>IGAE_vm!$H$1</c:f>
              <c:strCache>
                <c:ptCount val="1"/>
                <c:pt idx="0">
                  <c:v>Superior</c:v>
                </c:pt>
              </c:strCache>
            </c:strRef>
          </c:tx>
          <c:spPr>
            <a:ln w="19050" cap="rnd">
              <a:solidFill>
                <a:srgbClr val="00B050"/>
              </a:solidFill>
              <a:prstDash val="sysDash"/>
              <a:round/>
            </a:ln>
            <a:effectLst/>
          </c:spPr>
          <c:marker>
            <c:symbol val="none"/>
          </c:marker>
          <c:dPt>
            <c:idx val="10"/>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0D37-4046-B170-896B47D26D35}"/>
              </c:ext>
            </c:extLst>
          </c:dPt>
          <c:dPt>
            <c:idx val="11"/>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0D37-4046-B170-896B47D26D35}"/>
              </c:ext>
            </c:extLst>
          </c:dPt>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0D37-4046-B170-896B47D26D35}"/>
              </c:ext>
            </c:extLst>
          </c:dPt>
          <c:cat>
            <c:multiLvlStrRef>
              <c:f>IGAE_vm!$B$2:$C$59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IGAE_vm!$H$2:$H$59</c:f>
              <c:numCache>
                <c:formatCode>General</c:formatCode>
                <c:ptCount val="58"/>
                <c:pt idx="55" formatCode="0.00000000">
                  <c:v>-0.3080524</c:v>
                </c:pt>
                <c:pt idx="56">
                  <c:v>0.77174200000000004</c:v>
                </c:pt>
                <c:pt idx="57">
                  <c:v>0.83692619999999995</c:v>
                </c:pt>
              </c:numCache>
            </c:numRef>
          </c:val>
          <c:smooth val="0"/>
          <c:extLst>
            <c:ext xmlns:c16="http://schemas.microsoft.com/office/drawing/2014/chart" uri="{C3380CC4-5D6E-409C-BE32-E72D297353CC}">
              <c16:uniqueId val="{0000000C-0D37-4046-B170-896B47D26D35}"/>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3175" cap="flat" cmpd="sng" algn="ctr">
            <a:solidFill>
              <a:schemeClr val="tx1"/>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50"/>
        <c:tickLblSkip val="1"/>
        <c:tickMarkSkip val="1"/>
        <c:noMultiLvlLbl val="0"/>
      </c:catAx>
      <c:valAx>
        <c:axId val="490943808"/>
        <c:scaling>
          <c:orientation val="minMax"/>
          <c:min val="-25"/>
        </c:scaling>
        <c:delete val="0"/>
        <c:axPos val="l"/>
        <c:majorGridlines>
          <c:spPr>
            <a:ln w="317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sz="900"/>
                  <a:t>%</a:t>
                </a:r>
              </a:p>
            </c:rich>
          </c:tx>
          <c:layout>
            <c:manualLayout>
              <c:xMode val="edge"/>
              <c:yMode val="edge"/>
              <c:x val="2.3728235706435056E-3"/>
              <c:y val="0.3328099224024003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out"/>
        <c:minorTickMark val="none"/>
        <c:tickLblPos val="nextTo"/>
        <c:spPr>
          <a:noFill/>
          <a:ln w="31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w="3175">
          <a:solidFill>
            <a:sysClr val="windowText" lastClr="000000"/>
          </a:solidFill>
        </a:ln>
        <a:effectLst/>
      </c:spPr>
    </c:plotArea>
    <c:legend>
      <c:legendPos val="b"/>
      <c:layout>
        <c:manualLayout>
          <c:xMode val="edge"/>
          <c:yMode val="edge"/>
          <c:x val="0"/>
          <c:y val="0.92222835905622058"/>
          <c:w val="0.99760719014607901"/>
          <c:h val="6.696477532957610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3175" cap="flat" cmpd="sng" algn="ctr">
      <a:solidFill>
        <a:sysClr val="windowText" lastClr="000000"/>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677660394504359E-2"/>
          <c:y val="3.8610458470916945E-2"/>
          <c:w val="0.89492256821220506"/>
          <c:h val="0.75306282417169901"/>
        </c:manualLayout>
      </c:layout>
      <c:lineChart>
        <c:grouping val="standard"/>
        <c:varyColors val="0"/>
        <c:ser>
          <c:idx val="0"/>
          <c:order val="0"/>
          <c:tx>
            <c:strRef>
              <c:f>IGAE_lev!$D$1</c:f>
              <c:strCache>
                <c:ptCount val="1"/>
                <c:pt idx="0">
                  <c:v>IGAE</c:v>
                </c:pt>
              </c:strCache>
            </c:strRef>
          </c:tx>
          <c:spPr>
            <a:ln w="19050" cap="rnd">
              <a:solidFill>
                <a:schemeClr val="accent1">
                  <a:lumMod val="75000"/>
                </a:schemeClr>
              </a:solidFill>
              <a:round/>
            </a:ln>
            <a:effectLst/>
          </c:spPr>
          <c:marker>
            <c:symbol val="none"/>
          </c:marker>
          <c:cat>
            <c:multiLvlStrRef>
              <c:f>IGAE_lev!$B$2:$C$59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IGAE_lev!$D$2:$D$59</c:f>
              <c:numCache>
                <c:formatCode>General</c:formatCode>
                <c:ptCount val="58"/>
                <c:pt idx="0">
                  <c:v>99.943856699999998</c:v>
                </c:pt>
                <c:pt idx="1">
                  <c:v>98.956812400000004</c:v>
                </c:pt>
                <c:pt idx="2">
                  <c:v>95.624389399999998</c:v>
                </c:pt>
                <c:pt idx="3">
                  <c:v>77.634577199999995</c:v>
                </c:pt>
                <c:pt idx="4">
                  <c:v>76.131962400000006</c:v>
                </c:pt>
                <c:pt idx="5">
                  <c:v>85.162214300000002</c:v>
                </c:pt>
                <c:pt idx="6">
                  <c:v>89.524122500000004</c:v>
                </c:pt>
                <c:pt idx="7">
                  <c:v>92.149832900000007</c:v>
                </c:pt>
                <c:pt idx="8">
                  <c:v>94.636174600000004</c:v>
                </c:pt>
                <c:pt idx="9">
                  <c:v>95.648954799999998</c:v>
                </c:pt>
                <c:pt idx="10">
                  <c:v>96.408544800000001</c:v>
                </c:pt>
                <c:pt idx="11">
                  <c:v>96.090999100000005</c:v>
                </c:pt>
                <c:pt idx="12">
                  <c:v>96.117850099999998</c:v>
                </c:pt>
                <c:pt idx="13">
                  <c:v>95.616009500000004</c:v>
                </c:pt>
                <c:pt idx="14">
                  <c:v>97.351921200000007</c:v>
                </c:pt>
                <c:pt idx="15">
                  <c:v>97.186868099999998</c:v>
                </c:pt>
                <c:pt idx="16">
                  <c:v>97.196772499999994</c:v>
                </c:pt>
                <c:pt idx="17">
                  <c:v>97.038274299999998</c:v>
                </c:pt>
                <c:pt idx="18">
                  <c:v>96.741473799999994</c:v>
                </c:pt>
                <c:pt idx="19">
                  <c:v>95.989671799999996</c:v>
                </c:pt>
                <c:pt idx="20">
                  <c:v>95.8790762</c:v>
                </c:pt>
                <c:pt idx="21">
                  <c:v>96.579504200000002</c:v>
                </c:pt>
                <c:pt idx="22">
                  <c:v>97.131561199999993</c:v>
                </c:pt>
                <c:pt idx="23">
                  <c:v>97.713742699999997</c:v>
                </c:pt>
                <c:pt idx="24">
                  <c:v>98.286812499999996</c:v>
                </c:pt>
                <c:pt idx="25">
                  <c:v>98.703143900000001</c:v>
                </c:pt>
                <c:pt idx="26">
                  <c:v>98.985008100000002</c:v>
                </c:pt>
                <c:pt idx="27">
                  <c:v>99.931548199999995</c:v>
                </c:pt>
                <c:pt idx="28">
                  <c:v>99.7265996</c:v>
                </c:pt>
                <c:pt idx="29">
                  <c:v>99.425511900000004</c:v>
                </c:pt>
                <c:pt idx="30">
                  <c:v>100.08682</c:v>
                </c:pt>
                <c:pt idx="31">
                  <c:v>100.55708199999999</c:v>
                </c:pt>
                <c:pt idx="32">
                  <c:v>100.80152200000001</c:v>
                </c:pt>
                <c:pt idx="33">
                  <c:v>101.129846</c:v>
                </c:pt>
                <c:pt idx="34">
                  <c:v>101.445516</c:v>
                </c:pt>
                <c:pt idx="35">
                  <c:v>102.073173</c:v>
                </c:pt>
                <c:pt idx="36">
                  <c:v>102.272203</c:v>
                </c:pt>
                <c:pt idx="37">
                  <c:v>101.915798</c:v>
                </c:pt>
                <c:pt idx="38">
                  <c:v>101.4435</c:v>
                </c:pt>
                <c:pt idx="39">
                  <c:v>103.03263</c:v>
                </c:pt>
                <c:pt idx="40">
                  <c:v>103.10610699999999</c:v>
                </c:pt>
                <c:pt idx="41">
                  <c:v>103.560993</c:v>
                </c:pt>
                <c:pt idx="42">
                  <c:v>103.440364</c:v>
                </c:pt>
                <c:pt idx="43">
                  <c:v>104.10145</c:v>
                </c:pt>
                <c:pt idx="44">
                  <c:v>104.670295</c:v>
                </c:pt>
                <c:pt idx="45">
                  <c:v>104.517487</c:v>
                </c:pt>
                <c:pt idx="46">
                  <c:v>103.944835</c:v>
                </c:pt>
                <c:pt idx="47">
                  <c:v>104.050822</c:v>
                </c:pt>
                <c:pt idx="48">
                  <c:v>103.28542400000001</c:v>
                </c:pt>
                <c:pt idx="49">
                  <c:v>104.575962</c:v>
                </c:pt>
                <c:pt idx="50">
                  <c:v>104.617419</c:v>
                </c:pt>
                <c:pt idx="51">
                  <c:v>103.924953</c:v>
                </c:pt>
                <c:pt idx="52">
                  <c:v>104.712891</c:v>
                </c:pt>
                <c:pt idx="53">
                  <c:v>104.883414</c:v>
                </c:pt>
                <c:pt idx="54">
                  <c:v>105.50109500000001</c:v>
                </c:pt>
                <c:pt idx="55">
                  <c:v>105.176096</c:v>
                </c:pt>
              </c:numCache>
            </c:numRef>
          </c:val>
          <c:smooth val="0"/>
          <c:extLst>
            <c:ext xmlns:c16="http://schemas.microsoft.com/office/drawing/2014/chart" uri="{C3380CC4-5D6E-409C-BE32-E72D297353CC}">
              <c16:uniqueId val="{00000000-1230-422B-876D-B85EF62BAA10}"/>
            </c:ext>
          </c:extLst>
        </c:ser>
        <c:ser>
          <c:idx val="1"/>
          <c:order val="1"/>
          <c:tx>
            <c:strRef>
              <c:f>IGAE_lev!$E$1</c:f>
              <c:strCache>
                <c:ptCount val="1"/>
                <c:pt idx="0">
                  <c:v>Ajuste</c:v>
                </c:pt>
              </c:strCache>
            </c:strRef>
          </c:tx>
          <c:spPr>
            <a:ln w="19050" cap="rnd">
              <a:solidFill>
                <a:schemeClr val="tx1"/>
              </a:solidFill>
              <a:prstDash val="sysDash"/>
              <a:round/>
            </a:ln>
            <a:effectLst/>
          </c:spPr>
          <c:marker>
            <c:symbol val="none"/>
          </c:marker>
          <c:cat>
            <c:multiLvlStrRef>
              <c:f>IGAE_lev!$B$2:$C$59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IGAE_lev!$E$2:$E$59</c:f>
              <c:numCache>
                <c:formatCode>General</c:formatCode>
                <c:ptCount val="58"/>
                <c:pt idx="0">
                  <c:v>99.285585699999999</c:v>
                </c:pt>
                <c:pt idx="1">
                  <c:v>97.511992199999995</c:v>
                </c:pt>
                <c:pt idx="2">
                  <c:v>92.997664299999997</c:v>
                </c:pt>
                <c:pt idx="3">
                  <c:v>81.810599100000005</c:v>
                </c:pt>
                <c:pt idx="4">
                  <c:v>76.3242166</c:v>
                </c:pt>
                <c:pt idx="5">
                  <c:v>83.718526400000002</c:v>
                </c:pt>
                <c:pt idx="6">
                  <c:v>90.092539500000001</c:v>
                </c:pt>
                <c:pt idx="7">
                  <c:v>93.827885699999996</c:v>
                </c:pt>
                <c:pt idx="8">
                  <c:v>95.079327599999999</c:v>
                </c:pt>
                <c:pt idx="9">
                  <c:v>96.456198499999999</c:v>
                </c:pt>
                <c:pt idx="10">
                  <c:v>97.145779000000005</c:v>
                </c:pt>
                <c:pt idx="11">
                  <c:v>97.307780300000005</c:v>
                </c:pt>
                <c:pt idx="12">
                  <c:v>96.197416599999997</c:v>
                </c:pt>
                <c:pt idx="13">
                  <c:v>96.6233431</c:v>
                </c:pt>
                <c:pt idx="14">
                  <c:v>98.362855499999995</c:v>
                </c:pt>
                <c:pt idx="15">
                  <c:v>98.488863899999998</c:v>
                </c:pt>
                <c:pt idx="16">
                  <c:v>97.630695000000003</c:v>
                </c:pt>
                <c:pt idx="17">
                  <c:v>97.025999600000006</c:v>
                </c:pt>
                <c:pt idx="18">
                  <c:v>96.429009899999997</c:v>
                </c:pt>
                <c:pt idx="19">
                  <c:v>95.945700500000001</c:v>
                </c:pt>
                <c:pt idx="20">
                  <c:v>95.735483599999995</c:v>
                </c:pt>
                <c:pt idx="21">
                  <c:v>96.881655699999996</c:v>
                </c:pt>
                <c:pt idx="22">
                  <c:v>97.965763199999998</c:v>
                </c:pt>
                <c:pt idx="23">
                  <c:v>98.473612200000005</c:v>
                </c:pt>
                <c:pt idx="24">
                  <c:v>97.072430199999999</c:v>
                </c:pt>
                <c:pt idx="25">
                  <c:v>100.005548</c:v>
                </c:pt>
                <c:pt idx="26">
                  <c:v>99.716457300000002</c:v>
                </c:pt>
                <c:pt idx="27">
                  <c:v>99.811568600000001</c:v>
                </c:pt>
                <c:pt idx="28">
                  <c:v>99.855759500000005</c:v>
                </c:pt>
                <c:pt idx="29">
                  <c:v>99.627141899999998</c:v>
                </c:pt>
                <c:pt idx="30">
                  <c:v>99.504392499999994</c:v>
                </c:pt>
                <c:pt idx="31">
                  <c:v>99.827582199999995</c:v>
                </c:pt>
                <c:pt idx="32">
                  <c:v>100.31029100000001</c:v>
                </c:pt>
                <c:pt idx="33">
                  <c:v>100.901927</c:v>
                </c:pt>
                <c:pt idx="34">
                  <c:v>101.194931</c:v>
                </c:pt>
                <c:pt idx="35">
                  <c:v>102.614861</c:v>
                </c:pt>
                <c:pt idx="36">
                  <c:v>103.483497</c:v>
                </c:pt>
                <c:pt idx="37">
                  <c:v>102.65357899999999</c:v>
                </c:pt>
                <c:pt idx="38">
                  <c:v>102.225797</c:v>
                </c:pt>
                <c:pt idx="39">
                  <c:v>102.078256</c:v>
                </c:pt>
                <c:pt idx="40">
                  <c:v>103.004007</c:v>
                </c:pt>
                <c:pt idx="41">
                  <c:v>103.72216</c:v>
                </c:pt>
                <c:pt idx="42">
                  <c:v>103.95599799999999</c:v>
                </c:pt>
                <c:pt idx="43">
                  <c:v>103.596233</c:v>
                </c:pt>
                <c:pt idx="44">
                  <c:v>104.471901</c:v>
                </c:pt>
                <c:pt idx="45">
                  <c:v>104.48671899999999</c:v>
                </c:pt>
                <c:pt idx="46">
                  <c:v>104.36446599999999</c:v>
                </c:pt>
                <c:pt idx="47">
                  <c:v>104.21056400000001</c:v>
                </c:pt>
                <c:pt idx="48">
                  <c:v>104.251071</c:v>
                </c:pt>
                <c:pt idx="49">
                  <c:v>104.76155900000001</c:v>
                </c:pt>
                <c:pt idx="50">
                  <c:v>104.80816799999999</c:v>
                </c:pt>
                <c:pt idx="51">
                  <c:v>104.534126</c:v>
                </c:pt>
                <c:pt idx="52">
                  <c:v>104.40553300000001</c:v>
                </c:pt>
                <c:pt idx="53">
                  <c:v>104.67828799999999</c:v>
                </c:pt>
                <c:pt idx="54">
                  <c:v>105.105451</c:v>
                </c:pt>
                <c:pt idx="55">
                  <c:v>105.742194</c:v>
                </c:pt>
              </c:numCache>
            </c:numRef>
          </c:val>
          <c:smooth val="0"/>
          <c:extLst>
            <c:ext xmlns:c16="http://schemas.microsoft.com/office/drawing/2014/chart" uri="{C3380CC4-5D6E-409C-BE32-E72D297353CC}">
              <c16:uniqueId val="{00000001-1230-422B-876D-B85EF62BAA10}"/>
            </c:ext>
          </c:extLst>
        </c:ser>
        <c:ser>
          <c:idx val="2"/>
          <c:order val="2"/>
          <c:tx>
            <c:strRef>
              <c:f>IGAE_lev!$F$1</c:f>
              <c:strCache>
                <c:ptCount val="1"/>
                <c:pt idx="0">
                  <c:v>Nowcasts</c:v>
                </c:pt>
              </c:strCache>
            </c:strRef>
          </c:tx>
          <c:spPr>
            <a:ln w="28575" cap="rnd">
              <a:solidFill>
                <a:srgbClr val="C00000"/>
              </a:solidFill>
              <a:round/>
            </a:ln>
            <a:effectLst/>
          </c:spPr>
          <c:marker>
            <c:symbol val="none"/>
          </c:marker>
          <c:cat>
            <c:multiLvlStrRef>
              <c:f>IGAE_lev!$B$2:$C$59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IGAE_lev!$F$2:$F$59</c:f>
              <c:numCache>
                <c:formatCode>General</c:formatCode>
                <c:ptCount val="58"/>
                <c:pt idx="55" formatCode="0.000000">
                  <c:v>105.176096</c:v>
                </c:pt>
                <c:pt idx="56">
                  <c:v>105.00015</c:v>
                </c:pt>
                <c:pt idx="57">
                  <c:v>104.93738999999999</c:v>
                </c:pt>
              </c:numCache>
            </c:numRef>
          </c:val>
          <c:smooth val="0"/>
          <c:extLst>
            <c:ext xmlns:c16="http://schemas.microsoft.com/office/drawing/2014/chart" uri="{C3380CC4-5D6E-409C-BE32-E72D297353CC}">
              <c16:uniqueId val="{00000002-1230-422B-876D-B85EF62BAA10}"/>
            </c:ext>
          </c:extLst>
        </c:ser>
        <c:ser>
          <c:idx val="3"/>
          <c:order val="3"/>
          <c:tx>
            <c:strRef>
              <c:f>IGAE_lev!$G$1</c:f>
              <c:strCache>
                <c:ptCount val="1"/>
                <c:pt idx="0">
                  <c:v>Inferior</c:v>
                </c:pt>
              </c:strCache>
            </c:strRef>
          </c:tx>
          <c:spPr>
            <a:ln w="19050" cap="rnd">
              <a:solidFill>
                <a:srgbClr val="00B050"/>
              </a:solidFill>
              <a:prstDash val="sysDash"/>
              <a:round/>
            </a:ln>
            <a:effectLst/>
          </c:spPr>
          <c:marker>
            <c:symbol val="none"/>
          </c:marker>
          <c:dPt>
            <c:idx val="10"/>
            <c:marker>
              <c:symbol val="none"/>
            </c:marker>
            <c:bubble3D val="0"/>
            <c:extLst>
              <c:ext xmlns:c16="http://schemas.microsoft.com/office/drawing/2014/chart" uri="{C3380CC4-5D6E-409C-BE32-E72D297353CC}">
                <c16:uniqueId val="{00000003-1230-422B-876D-B85EF62BAA10}"/>
              </c:ext>
            </c:extLst>
          </c:dPt>
          <c:dPt>
            <c:idx val="11"/>
            <c:marker>
              <c:symbol val="none"/>
            </c:marker>
            <c:bubble3D val="0"/>
            <c:extLst>
              <c:ext xmlns:c16="http://schemas.microsoft.com/office/drawing/2014/chart" uri="{C3380CC4-5D6E-409C-BE32-E72D297353CC}">
                <c16:uniqueId val="{00000004-1230-422B-876D-B85EF62BAA10}"/>
              </c:ext>
            </c:extLst>
          </c:dPt>
          <c:cat>
            <c:multiLvlStrRef>
              <c:f>IGAE_lev!$B$2:$C$59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IGAE_lev!$G$2:$G$59</c:f>
              <c:numCache>
                <c:formatCode>General</c:formatCode>
                <c:ptCount val="58"/>
                <c:pt idx="55" formatCode="0.000000">
                  <c:v>105.176096</c:v>
                </c:pt>
                <c:pt idx="56">
                  <c:v>104.01493000000001</c:v>
                </c:pt>
                <c:pt idx="57">
                  <c:v>103.99585</c:v>
                </c:pt>
              </c:numCache>
            </c:numRef>
          </c:val>
          <c:smooth val="0"/>
          <c:extLst>
            <c:ext xmlns:c16="http://schemas.microsoft.com/office/drawing/2014/chart" uri="{C3380CC4-5D6E-409C-BE32-E72D297353CC}">
              <c16:uniqueId val="{00000005-1230-422B-876D-B85EF62BAA10}"/>
            </c:ext>
          </c:extLst>
        </c:ser>
        <c:ser>
          <c:idx val="4"/>
          <c:order val="4"/>
          <c:tx>
            <c:strRef>
              <c:f>IGAE_lev!$H$1</c:f>
              <c:strCache>
                <c:ptCount val="1"/>
                <c:pt idx="0">
                  <c:v>Superior</c:v>
                </c:pt>
              </c:strCache>
            </c:strRef>
          </c:tx>
          <c:spPr>
            <a:ln w="19050" cap="rnd">
              <a:solidFill>
                <a:srgbClr val="00B050"/>
              </a:solidFill>
              <a:prstDash val="sysDash"/>
              <a:round/>
            </a:ln>
            <a:effectLst/>
          </c:spPr>
          <c:marker>
            <c:symbol val="none"/>
          </c:marker>
          <c:dPt>
            <c:idx val="10"/>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1230-422B-876D-B85EF62BAA10}"/>
              </c:ext>
            </c:extLst>
          </c:dPt>
          <c:dPt>
            <c:idx val="11"/>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1230-422B-876D-B85EF62BAA10}"/>
              </c:ext>
            </c:extLst>
          </c:dPt>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1230-422B-876D-B85EF62BAA10}"/>
              </c:ext>
            </c:extLst>
          </c:dPt>
          <c:cat>
            <c:multiLvlStrRef>
              <c:f>IGAE_lev!$B$2:$C$59</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2020</c:v>
                  </c:pt>
                  <c:pt idx="12">
                    <c:v>2021</c:v>
                  </c:pt>
                  <c:pt idx="24">
                    <c:v>2022</c:v>
                  </c:pt>
                  <c:pt idx="36">
                    <c:v>2023</c:v>
                  </c:pt>
                  <c:pt idx="48">
                    <c:v>2024</c:v>
                  </c:pt>
                </c:lvl>
              </c:multiLvlStrCache>
            </c:multiLvlStrRef>
          </c:cat>
          <c:val>
            <c:numRef>
              <c:f>IGAE_lev!$H$2:$H$59</c:f>
              <c:numCache>
                <c:formatCode>General</c:formatCode>
                <c:ptCount val="58"/>
                <c:pt idx="55" formatCode="0.000000">
                  <c:v>105.176096</c:v>
                </c:pt>
                <c:pt idx="56">
                  <c:v>105.98778</c:v>
                </c:pt>
                <c:pt idx="57">
                  <c:v>105.87891999999999</c:v>
                </c:pt>
              </c:numCache>
            </c:numRef>
          </c:val>
          <c:smooth val="0"/>
          <c:extLst>
            <c:ext xmlns:c16="http://schemas.microsoft.com/office/drawing/2014/chart" uri="{C3380CC4-5D6E-409C-BE32-E72D297353CC}">
              <c16:uniqueId val="{0000000C-1230-422B-876D-B85EF62BAA10}"/>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3175" cap="flat" cmpd="sng" algn="ctr">
            <a:solidFill>
              <a:schemeClr val="tx1"/>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50"/>
        <c:tickLblSkip val="1"/>
        <c:tickMarkSkip val="1"/>
        <c:noMultiLvlLbl val="0"/>
      </c:catAx>
      <c:valAx>
        <c:axId val="490943808"/>
        <c:scaling>
          <c:orientation val="minMax"/>
          <c:min val="70"/>
        </c:scaling>
        <c:delete val="0"/>
        <c:axPos val="l"/>
        <c:majorGridlines>
          <c:spPr>
            <a:ln w="317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sz="900"/>
                  <a:t>Índice</a:t>
                </a:r>
              </a:p>
            </c:rich>
          </c:tx>
          <c:layout>
            <c:manualLayout>
              <c:xMode val="edge"/>
              <c:yMode val="edge"/>
              <c:x val="4.8960014125156827E-3"/>
              <c:y val="0.3530864776280913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title>
        <c:numFmt formatCode="General" sourceLinked="1"/>
        <c:majorTickMark val="out"/>
        <c:minorTickMark val="none"/>
        <c:tickLblPos val="nextTo"/>
        <c:spPr>
          <a:noFill/>
          <a:ln w="31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w="3175">
          <a:solidFill>
            <a:sysClr val="windowText" lastClr="000000"/>
          </a:solidFill>
        </a:ln>
        <a:effectLst/>
      </c:spPr>
    </c:plotArea>
    <c:legend>
      <c:legendPos val="b"/>
      <c:layout>
        <c:manualLayout>
          <c:xMode val="edge"/>
          <c:yMode val="edge"/>
          <c:x val="0"/>
          <c:y val="0.92222835905622058"/>
          <c:w val="0.99760719014607901"/>
          <c:h val="6.696477532957610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3175" cap="flat" cmpd="sng" algn="ctr">
      <a:solidFill>
        <a:sysClr val="windowText" lastClr="000000"/>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8FFF36E69C3249968D779353D3735D" ma:contentTypeVersion="6" ma:contentTypeDescription="Create a new document." ma:contentTypeScope="" ma:versionID="6b14e35f4bd9dc64c44530e09447803b">
  <xsd:schema xmlns:xsd="http://www.w3.org/2001/XMLSchema" xmlns:xs="http://www.w3.org/2001/XMLSchema" xmlns:p="http://schemas.microsoft.com/office/2006/metadata/properties" xmlns:ns2="a86ee325-94b0-4f30-847e-6646843bcaf7" xmlns:ns3="1ba99075-95a4-4d57-a0ef-fc2aa316c235" targetNamespace="http://schemas.microsoft.com/office/2006/metadata/properties" ma:root="true" ma:fieldsID="cdb5d3d03d9352702aa1e9fb5abc3dd0" ns2:_="" ns3:_="">
    <xsd:import namespace="a86ee325-94b0-4f30-847e-6646843bcaf7"/>
    <xsd:import namespace="1ba99075-95a4-4d57-a0ef-fc2aa316c2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e325-94b0-4f30-847e-6646843bc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99075-95a4-4d57-a0ef-fc2aa316c2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C1CDB-38E3-4D74-81B6-A5F95D8F7DEA}">
  <ds:schemaRefs>
    <ds:schemaRef ds:uri="http://schemas.openxmlformats.org/officeDocument/2006/bibliography"/>
  </ds:schemaRefs>
</ds:datastoreItem>
</file>

<file path=customXml/itemProps2.xml><?xml version="1.0" encoding="utf-8"?>
<ds:datastoreItem xmlns:ds="http://schemas.openxmlformats.org/officeDocument/2006/customXml" ds:itemID="{196FD453-C913-4243-A8B2-D0C870589359}">
  <ds:schemaRefs>
    <ds:schemaRef ds:uri="http://schemas.microsoft.com/sharepoint/v3/contenttype/forms"/>
  </ds:schemaRefs>
</ds:datastoreItem>
</file>

<file path=customXml/itemProps3.xml><?xml version="1.0" encoding="utf-8"?>
<ds:datastoreItem xmlns:ds="http://schemas.openxmlformats.org/officeDocument/2006/customXml" ds:itemID="{E76D6325-7CB2-4C85-A734-31E912A98D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FF0E85-BDF1-40A1-9AD1-275A9037D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e325-94b0-4f30-847e-6646843bcaf7"/>
    <ds:schemaRef ds:uri="1ba99075-95a4-4d57-a0ef-fc2aa316c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2583</Words>
  <Characters>14208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Comunicado de Prensa.Indicador Oportuno de Actividad Económica</vt:lpstr>
    </vt:vector>
  </TitlesOfParts>
  <Company>INEGI</Company>
  <LinksUpToDate>false</LinksUpToDate>
  <CharactersWithSpaces>16758</CharactersWithSpaces>
  <SharedDoc>false</SharedDoc>
  <HLinks>
    <vt:vector size="18" baseType="variant">
      <vt:variant>
        <vt:i4>262227</vt:i4>
      </vt:variant>
      <vt:variant>
        <vt:i4>6</vt:i4>
      </vt:variant>
      <vt:variant>
        <vt:i4>0</vt:i4>
      </vt:variant>
      <vt:variant>
        <vt:i4>5</vt:i4>
      </vt:variant>
      <vt:variant>
        <vt:lpwstr>http://www.inegi.org.mx/</vt:lpwstr>
      </vt:variant>
      <vt:variant>
        <vt:lpwstr/>
      </vt:variant>
      <vt:variant>
        <vt:i4>983134</vt:i4>
      </vt:variant>
      <vt:variant>
        <vt:i4>3</vt:i4>
      </vt:variant>
      <vt:variant>
        <vt:i4>0</vt:i4>
      </vt:variant>
      <vt:variant>
        <vt:i4>5</vt:i4>
      </vt:variant>
      <vt:variant>
        <vt:lpwstr>https://www.inegi.org.mx/investigacion/ioae/</vt:lpwstr>
      </vt:variant>
      <vt:variant>
        <vt:lpwstr/>
      </vt:variant>
      <vt:variant>
        <vt:i4>524370</vt:i4>
      </vt:variant>
      <vt:variant>
        <vt:i4>0</vt:i4>
      </vt:variant>
      <vt:variant>
        <vt:i4>0</vt:i4>
      </vt:variant>
      <vt:variant>
        <vt:i4>5</vt:i4>
      </vt:variant>
      <vt:variant>
        <vt:lpwstr>https://www.inegi.org.mx/investigacion/ioae/</vt:lpwstr>
      </vt:variant>
      <vt:variant>
        <vt:lpwstr>Documentacion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Prensa.Indicador Oportuno de Actividad Económica</dc:title>
  <dc:subject/>
  <dc:creator>INEGI</dc:creator>
  <cp:keywords>Actividad Económica</cp:keywords>
  <cp:lastModifiedBy>MORONES RUIZ FABIOLA CRISTINA</cp:lastModifiedBy>
  <cp:revision>2</cp:revision>
  <cp:lastPrinted>2024-11-19T16:48:00Z</cp:lastPrinted>
  <dcterms:created xsi:type="dcterms:W3CDTF">2024-11-19T19:34:00Z</dcterms:created>
  <dcterms:modified xsi:type="dcterms:W3CDTF">2024-11-19T19:34:00Z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dac4f1c85a11ce01d4a18befff8af70ec75dcfaa1615781f5e7c6b3eedb9f40b</vt:lpwstr>
  </property>
  <property fmtid="{D5CDD505-2E9C-101B-9397-08002B2CF9AE}" pid="3" name="ContentTypeId">
    <vt:lpwstr>0x0101008E8FFF36E69C3249968D779353D3735D</vt:lpwstr>
  </property>
</Properties>
</file>