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259194C" w14:textId="2D190B0D" w:rsidR="005B1901" w:rsidRDefault="005B1901" w:rsidP="008B7D39">
      <w:pPr>
        <w:pStyle w:val="Subttulo"/>
        <w:rPr>
          <w:smallCaps/>
          <w:sz w:val="28"/>
        </w:rPr>
      </w:pPr>
      <w:r w:rsidRPr="003C0955">
        <w:rPr>
          <w:noProof/>
          <w:color w:val="244061" w:themeColor="accent1" w:themeShade="80"/>
          <w:lang w:eastAsia="es-MX"/>
        </w:rPr>
        <mc:AlternateContent>
          <mc:Choice Requires="wps">
            <w:drawing>
              <wp:anchor distT="45720" distB="45720" distL="114300" distR="114300" simplePos="0" relativeHeight="251661312" behindDoc="0" locked="0" layoutInCell="1" allowOverlap="1" wp14:anchorId="1B8B63C3" wp14:editId="1887EE80">
                <wp:simplePos x="0" y="0"/>
                <wp:positionH relativeFrom="margin">
                  <wp:posOffset>3123211</wp:posOffset>
                </wp:positionH>
                <wp:positionV relativeFrom="paragraph">
                  <wp:posOffset>107290</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6A215587" w14:textId="34C9B8E8" w:rsidR="005B1901" w:rsidRDefault="005B1901" w:rsidP="005B1901">
                            <w:pPr>
                              <w:jc w:val="right"/>
                            </w:pPr>
                            <w:r w:rsidRPr="00B30160">
                              <w:rPr>
                                <w:rFonts w:ascii="Arial Negrita" w:hAnsi="Arial Negrita"/>
                                <w:color w:val="07BFBA"/>
                              </w:rPr>
                              <w:t xml:space="preserve">Próxima publicación: </w:t>
                            </w:r>
                            <w:r>
                              <w:rPr>
                                <w:rFonts w:ascii="Arial Negrita" w:hAnsi="Arial Negrita"/>
                                <w:b/>
                                <w:bCs/>
                                <w:color w:val="07BFBA"/>
                              </w:rPr>
                              <w:t>2</w:t>
                            </w:r>
                            <w:r w:rsidRPr="00B30160">
                              <w:rPr>
                                <w:rFonts w:ascii="Arial Negrita" w:hAnsi="Arial Negrita"/>
                                <w:b/>
                                <w:bCs/>
                                <w:color w:val="07BFBA"/>
                              </w:rPr>
                              <w:t xml:space="preserve"> de </w:t>
                            </w:r>
                            <w:r>
                              <w:rPr>
                                <w:rFonts w:ascii="Arial Negrita" w:hAnsi="Arial Negrita"/>
                                <w:b/>
                                <w:bCs/>
                                <w:color w:val="07BFBA"/>
                              </w:rPr>
                              <w:t>abril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B8B63C3" id="_x0000_t202" coordsize="21600,21600" o:spt="202" path="m,l,21600r21600,l21600,xe">
                <v:stroke joinstyle="miter"/>
                <v:path gradientshapeok="t" o:connecttype="rect"/>
              </v:shapetype>
              <v:shape id="Cuadro de texto 610586331" o:spid="_x0000_s1026" type="#_x0000_t202" style="position:absolute;left:0;text-align:left;margin-left:245.9pt;margin-top:8.45pt;width:262.7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" filled="f" stroked="f">
                <v:textbox>
                  <w:txbxContent>
                    <w:p w14:paraId="6A215587" w14:textId="34C9B8E8" w:rsidR="005B1901" w:rsidRDefault="005B1901" w:rsidP="005B1901">
                      <w:pPr>
                        <w:jc w:val="right"/>
                      </w:pPr>
                      <w:r w:rsidRPr="00B30160">
                        <w:rPr>
                          <w:rFonts w:ascii="Arial Negrita" w:hAnsi="Arial Negrita"/>
                          <w:color w:val="07BFBA"/>
                        </w:rPr>
                        <w:t xml:space="preserve">Próxima publicación: </w:t>
                      </w:r>
                      <w:r>
                        <w:rPr>
                          <w:rFonts w:ascii="Arial Negrita" w:hAnsi="Arial Negrita"/>
                          <w:b/>
                          <w:bCs/>
                          <w:color w:val="07BFBA"/>
                        </w:rPr>
                        <w:t>2</w:t>
                      </w:r>
                      <w:r w:rsidRPr="00B30160">
                        <w:rPr>
                          <w:rFonts w:ascii="Arial Negrita" w:hAnsi="Arial Negrita"/>
                          <w:b/>
                          <w:bCs/>
                          <w:color w:val="07BFBA"/>
                        </w:rPr>
                        <w:t xml:space="preserve"> de </w:t>
                      </w:r>
                      <w:r>
                        <w:rPr>
                          <w:rFonts w:ascii="Arial Negrita" w:hAnsi="Arial Negrita"/>
                          <w:b/>
                          <w:bCs/>
                          <w:color w:val="07BFBA"/>
                        </w:rPr>
                        <w:t>abril</w:t>
                      </w:r>
                    </w:p>
                  </w:txbxContent>
                </v:textbox>
                <w10:wrap type="square" anchorx="margin"/>
              </v:shape>
            </w:pict>
          </mc:Fallback>
        </mc:AlternateContent>
      </w:r>
    </w:p>
    <w:p w14:paraId="7EFFBE81" w14:textId="53ACF3FD" w:rsidR="005B1901" w:rsidRDefault="005B1901" w:rsidP="008B7D39">
      <w:pPr>
        <w:pStyle w:val="Subttulo"/>
        <w:rPr>
          <w:smallCaps/>
          <w:sz w:val="28"/>
        </w:rPr>
      </w:pPr>
    </w:p>
    <w:p w14:paraId="073712B1" w14:textId="77777777" w:rsidR="005B1901" w:rsidRDefault="005B1901" w:rsidP="008B7D39">
      <w:pPr>
        <w:pStyle w:val="Subttulo"/>
        <w:rPr>
          <w:smallCaps/>
          <w:sz w:val="28"/>
        </w:rPr>
      </w:pPr>
    </w:p>
    <w:p w14:paraId="08BE399E" w14:textId="77777777" w:rsidR="005B1901" w:rsidRDefault="005B1901" w:rsidP="008B7D39">
      <w:pPr>
        <w:pStyle w:val="Subttulo"/>
        <w:rPr>
          <w:smallCaps/>
          <w:sz w:val="28"/>
        </w:rPr>
      </w:pPr>
    </w:p>
    <w:p w14:paraId="0EAC1211" w14:textId="66D4B204" w:rsidR="0007670F" w:rsidRPr="005B1901" w:rsidRDefault="00CF0E48" w:rsidP="008B7D39">
      <w:pPr>
        <w:pStyle w:val="Subttulo"/>
        <w:rPr>
          <w:rFonts w:ascii="Arial Negrita" w:hAnsi="Arial Negrita"/>
        </w:rPr>
      </w:pPr>
      <w:r w:rsidRPr="005B1901">
        <w:rPr>
          <w:rFonts w:ascii="Arial Negrita" w:hAnsi="Arial Negrita"/>
        </w:rPr>
        <w:t>INDICADOR DE PEDIDOS MANUFACTUREROS</w:t>
      </w:r>
    </w:p>
    <w:p w14:paraId="7A3DC36E" w14:textId="18FBE22D" w:rsidR="0007670F" w:rsidRDefault="00E14C1C" w:rsidP="00FB4443">
      <w:pPr>
        <w:spacing w:before="40"/>
        <w:contextualSpacing/>
        <w:jc w:val="center"/>
        <w:rPr>
          <w:bCs/>
        </w:rPr>
      </w:pPr>
      <w:r w:rsidRPr="005B1901">
        <w:rPr>
          <w:bCs/>
        </w:rPr>
        <w:t>Febrero</w:t>
      </w:r>
      <w:r w:rsidR="00CF0E48" w:rsidRPr="005B1901">
        <w:rPr>
          <w:bCs/>
        </w:rPr>
        <w:t xml:space="preserve"> de 202</w:t>
      </w:r>
      <w:r w:rsidR="00A819E6" w:rsidRPr="005B1901">
        <w:rPr>
          <w:bCs/>
        </w:rPr>
        <w:t>4</w:t>
      </w:r>
    </w:p>
    <w:p w14:paraId="41CE7FE6" w14:textId="77777777" w:rsidR="005B1901" w:rsidRPr="005B1901" w:rsidRDefault="005B1901" w:rsidP="00FB4443">
      <w:pPr>
        <w:spacing w:before="40"/>
        <w:contextualSpacing/>
        <w:jc w:val="center"/>
        <w:rPr>
          <w:bCs/>
        </w:rPr>
      </w:pPr>
    </w:p>
    <w:p w14:paraId="262AA5B6" w14:textId="02DCB89E" w:rsidR="00C32A43" w:rsidRPr="005B1901" w:rsidRDefault="001A50CE" w:rsidP="005B1901">
      <w:pPr>
        <w:pStyle w:val="Prrafodelista"/>
        <w:spacing w:before="240"/>
        <w:ind w:left="0" w:right="51"/>
        <w:rPr>
          <w:snapToGrid w:val="0"/>
          <w:color w:val="000000" w:themeColor="text1"/>
          <w:szCs w:val="22"/>
          <w:bdr w:val="none" w:sz="0" w:space="0" w:color="auto" w:frame="1"/>
          <w:lang w:val="es-MX"/>
        </w:rPr>
      </w:pPr>
      <w:r w:rsidRPr="005B1901">
        <w:rPr>
          <w:snapToGrid w:val="0"/>
          <w:color w:val="000000" w:themeColor="text1"/>
          <w:szCs w:val="22"/>
          <w:bdr w:val="none" w:sz="0" w:space="0" w:color="auto" w:frame="1"/>
          <w:lang w:val="es-MX"/>
        </w:rPr>
        <w:t xml:space="preserve">El Instituto Nacional de Estadística y Geografía </w:t>
      </w:r>
      <w:r w:rsidR="005B1901" w:rsidRPr="005B1901">
        <w:rPr>
          <w:snapToGrid w:val="0"/>
          <w:color w:val="000000" w:themeColor="text1"/>
          <w:szCs w:val="22"/>
          <w:bdr w:val="none" w:sz="0" w:space="0" w:color="auto" w:frame="1"/>
          <w:lang w:val="es-MX"/>
        </w:rPr>
        <w:t>(</w:t>
      </w:r>
      <w:r w:rsidR="005B1901" w:rsidRPr="005B1901">
        <w:rPr>
          <w:smallCaps/>
          <w:snapToGrid w:val="0"/>
          <w:color w:val="000000" w:themeColor="text1"/>
          <w:szCs w:val="22"/>
          <w:bdr w:val="none" w:sz="0" w:space="0" w:color="auto" w:frame="1"/>
          <w:lang w:val="es-MX"/>
        </w:rPr>
        <w:t>inegi</w:t>
      </w:r>
      <w:r w:rsidR="005B1901" w:rsidRPr="005B1901">
        <w:rPr>
          <w:snapToGrid w:val="0"/>
          <w:color w:val="000000" w:themeColor="text1"/>
          <w:szCs w:val="22"/>
          <w:bdr w:val="none" w:sz="0" w:space="0" w:color="auto" w:frame="1"/>
          <w:lang w:val="es-MX"/>
        </w:rPr>
        <w:t xml:space="preserve">) </w:t>
      </w:r>
      <w:r w:rsidRPr="005B1901">
        <w:rPr>
          <w:snapToGrid w:val="0"/>
          <w:color w:val="000000" w:themeColor="text1"/>
          <w:szCs w:val="22"/>
          <w:bdr w:val="none" w:sz="0" w:space="0" w:color="auto" w:frame="1"/>
          <w:lang w:val="es-MX"/>
        </w:rPr>
        <w:t>y el Banco de México dan a conocer el Indicador de Pedidos Manufactureros (</w:t>
      </w:r>
      <w:proofErr w:type="spellStart"/>
      <w:r w:rsidR="007E7169" w:rsidRPr="005B1901">
        <w:rPr>
          <w:smallCaps/>
          <w:snapToGrid w:val="0"/>
          <w:color w:val="000000" w:themeColor="text1"/>
          <w:szCs w:val="22"/>
          <w:bdr w:val="none" w:sz="0" w:space="0" w:color="auto" w:frame="1"/>
          <w:lang w:val="es-MX"/>
        </w:rPr>
        <w:t>ipm</w:t>
      </w:r>
      <w:proofErr w:type="spellEnd"/>
      <w:r w:rsidRPr="005B1901">
        <w:rPr>
          <w:snapToGrid w:val="0"/>
          <w:color w:val="000000" w:themeColor="text1"/>
          <w:szCs w:val="22"/>
          <w:bdr w:val="none" w:sz="0" w:space="0" w:color="auto" w:frame="1"/>
          <w:lang w:val="es-MX"/>
        </w:rPr>
        <w:t xml:space="preserve">) </w:t>
      </w:r>
      <w:r w:rsidR="00C32A43" w:rsidRPr="005B1901">
        <w:rPr>
          <w:snapToGrid w:val="0"/>
          <w:color w:val="000000" w:themeColor="text1"/>
          <w:szCs w:val="22"/>
          <w:bdr w:val="none" w:sz="0" w:space="0" w:color="auto" w:frame="1"/>
          <w:lang w:val="es-MX"/>
        </w:rPr>
        <w:t>de</w:t>
      </w:r>
      <w:r w:rsidR="00472719" w:rsidRPr="005B1901">
        <w:rPr>
          <w:snapToGrid w:val="0"/>
          <w:color w:val="000000" w:themeColor="text1"/>
          <w:szCs w:val="22"/>
          <w:bdr w:val="none" w:sz="0" w:space="0" w:color="auto" w:frame="1"/>
          <w:lang w:val="es-MX"/>
        </w:rPr>
        <w:t xml:space="preserve"> </w:t>
      </w:r>
      <w:r w:rsidR="00E81508" w:rsidRPr="005B1901">
        <w:rPr>
          <w:snapToGrid w:val="0"/>
          <w:color w:val="000000" w:themeColor="text1"/>
          <w:szCs w:val="22"/>
          <w:bdr w:val="none" w:sz="0" w:space="0" w:color="auto" w:frame="1"/>
          <w:lang w:val="es-MX"/>
        </w:rPr>
        <w:t>febrero de 2024</w:t>
      </w:r>
      <w:r w:rsidRPr="005B1901">
        <w:rPr>
          <w:snapToGrid w:val="0"/>
          <w:color w:val="000000" w:themeColor="text1"/>
          <w:szCs w:val="22"/>
          <w:bdr w:val="none" w:sz="0" w:space="0" w:color="auto" w:frame="1"/>
          <w:lang w:val="es-MX"/>
        </w:rPr>
        <w:t xml:space="preserve">. El </w:t>
      </w:r>
      <w:proofErr w:type="spellStart"/>
      <w:r w:rsidR="007E7169" w:rsidRPr="005B1901">
        <w:rPr>
          <w:smallCaps/>
          <w:snapToGrid w:val="0"/>
          <w:color w:val="000000" w:themeColor="text1"/>
          <w:szCs w:val="22"/>
          <w:bdr w:val="none" w:sz="0" w:space="0" w:color="auto" w:frame="1"/>
          <w:lang w:val="es-MX"/>
        </w:rPr>
        <w:t>ipm</w:t>
      </w:r>
      <w:proofErr w:type="spellEnd"/>
      <w:r w:rsidRPr="005B1901">
        <w:rPr>
          <w:snapToGrid w:val="0"/>
          <w:color w:val="000000" w:themeColor="text1"/>
          <w:szCs w:val="22"/>
          <w:bdr w:val="none" w:sz="0" w:space="0" w:color="auto" w:frame="1"/>
          <w:lang w:val="es-MX"/>
        </w:rPr>
        <w:t xml:space="preserve"> se construye con los resultados de la Encuesta Mensual de Opinión Empresarial</w:t>
      </w:r>
      <w:r w:rsidR="006567F2">
        <w:rPr>
          <w:snapToGrid w:val="0"/>
          <w:color w:val="000000" w:themeColor="text1"/>
          <w:szCs w:val="22"/>
          <w:bdr w:val="none" w:sz="0" w:space="0" w:color="auto" w:frame="1"/>
          <w:lang w:val="es-MX"/>
        </w:rPr>
        <w:t xml:space="preserve"> (</w:t>
      </w:r>
      <w:proofErr w:type="spellStart"/>
      <w:r w:rsidR="006567F2" w:rsidRPr="006567F2">
        <w:rPr>
          <w:smallCaps/>
          <w:snapToGrid w:val="0"/>
          <w:color w:val="000000" w:themeColor="text1"/>
          <w:szCs w:val="22"/>
          <w:bdr w:val="none" w:sz="0" w:space="0" w:color="auto" w:frame="1"/>
          <w:lang w:val="es-MX"/>
        </w:rPr>
        <w:t>emoe</w:t>
      </w:r>
      <w:proofErr w:type="spellEnd"/>
      <w:r w:rsidR="006567F2">
        <w:rPr>
          <w:snapToGrid w:val="0"/>
          <w:color w:val="000000" w:themeColor="text1"/>
          <w:szCs w:val="22"/>
          <w:bdr w:val="none" w:sz="0" w:space="0" w:color="auto" w:frame="1"/>
          <w:lang w:val="es-MX"/>
        </w:rPr>
        <w:t>)</w:t>
      </w:r>
      <w:r w:rsidRPr="005B1901">
        <w:rPr>
          <w:snapToGrid w:val="0"/>
          <w:color w:val="000000" w:themeColor="text1"/>
          <w:szCs w:val="22"/>
          <w:bdr w:val="none" w:sz="0" w:space="0" w:color="auto" w:frame="1"/>
          <w:lang w:val="es-MX"/>
        </w:rPr>
        <w:t xml:space="preserve">, mismos que permiten conocer, casi inmediatamente después de terminado el mes de referencia, las expectativas y la percepción de </w:t>
      </w:r>
      <w:r w:rsidR="00EC3491" w:rsidRPr="005B1901">
        <w:rPr>
          <w:snapToGrid w:val="0"/>
          <w:color w:val="000000" w:themeColor="text1"/>
          <w:szCs w:val="22"/>
          <w:bdr w:val="none" w:sz="0" w:space="0" w:color="auto" w:frame="1"/>
          <w:lang w:val="es-MX"/>
        </w:rPr>
        <w:t xml:space="preserve">las y </w:t>
      </w:r>
      <w:r w:rsidRPr="005B1901">
        <w:rPr>
          <w:snapToGrid w:val="0"/>
          <w:color w:val="000000" w:themeColor="text1"/>
          <w:szCs w:val="22"/>
          <w:bdr w:val="none" w:sz="0" w:space="0" w:color="auto" w:frame="1"/>
          <w:lang w:val="es-MX"/>
        </w:rPr>
        <w:t>los directivos empresariales sobre el comportamiento del sector manufacturero en México.</w:t>
      </w:r>
    </w:p>
    <w:p w14:paraId="2A141FCB" w14:textId="29CD4CA7" w:rsidR="00C32A43" w:rsidRDefault="00ED2C88" w:rsidP="005B1901">
      <w:pPr>
        <w:pStyle w:val="Prrafodelista"/>
        <w:spacing w:before="240"/>
        <w:ind w:left="0" w:right="51"/>
        <w:rPr>
          <w:snapToGrid w:val="0"/>
          <w:color w:val="000000" w:themeColor="text1"/>
          <w:szCs w:val="22"/>
          <w:bdr w:val="none" w:sz="0" w:space="0" w:color="auto" w:frame="1"/>
          <w:lang w:val="es-MX"/>
        </w:rPr>
      </w:pPr>
      <w:r w:rsidRPr="005B1901">
        <w:rPr>
          <w:snapToGrid w:val="0"/>
          <w:color w:val="000000" w:themeColor="text1"/>
          <w:szCs w:val="22"/>
          <w:bdr w:val="none" w:sz="0" w:space="0" w:color="auto" w:frame="1"/>
          <w:lang w:val="es-MX"/>
        </w:rPr>
        <w:t>En febrero del año en curso y c</w:t>
      </w:r>
      <w:r w:rsidR="00EE63B6" w:rsidRPr="005B1901">
        <w:rPr>
          <w:snapToGrid w:val="0"/>
          <w:color w:val="000000" w:themeColor="text1"/>
          <w:szCs w:val="22"/>
          <w:bdr w:val="none" w:sz="0" w:space="0" w:color="auto" w:frame="1"/>
          <w:lang w:val="es-MX"/>
        </w:rPr>
        <w:t xml:space="preserve">on </w:t>
      </w:r>
      <w:r w:rsidR="00E81508" w:rsidRPr="005B1901">
        <w:rPr>
          <w:snapToGrid w:val="0"/>
          <w:color w:val="000000" w:themeColor="text1"/>
          <w:szCs w:val="22"/>
          <w:bdr w:val="none" w:sz="0" w:space="0" w:color="auto" w:frame="1"/>
          <w:lang w:val="es-MX"/>
        </w:rPr>
        <w:t>datos</w:t>
      </w:r>
      <w:r w:rsidR="00A3131C" w:rsidRPr="005B1901">
        <w:rPr>
          <w:snapToGrid w:val="0"/>
          <w:color w:val="000000" w:themeColor="text1"/>
          <w:szCs w:val="22"/>
          <w:bdr w:val="none" w:sz="0" w:space="0" w:color="auto" w:frame="1"/>
          <w:lang w:val="es-MX"/>
        </w:rPr>
        <w:t xml:space="preserve"> desestacionalizad</w:t>
      </w:r>
      <w:r w:rsidR="00E81508" w:rsidRPr="005B1901">
        <w:rPr>
          <w:snapToGrid w:val="0"/>
          <w:color w:val="000000" w:themeColor="text1"/>
          <w:szCs w:val="22"/>
          <w:bdr w:val="none" w:sz="0" w:space="0" w:color="auto" w:frame="1"/>
          <w:lang w:val="es-MX"/>
        </w:rPr>
        <w:t>o</w:t>
      </w:r>
      <w:r w:rsidR="00A3131C" w:rsidRPr="005B1901">
        <w:rPr>
          <w:snapToGrid w:val="0"/>
          <w:color w:val="000000" w:themeColor="text1"/>
          <w:szCs w:val="22"/>
          <w:bdr w:val="none" w:sz="0" w:space="0" w:color="auto" w:frame="1"/>
          <w:lang w:val="es-MX"/>
        </w:rPr>
        <w:t>s</w:t>
      </w:r>
      <w:r w:rsidR="001A50CE" w:rsidRPr="005B1901">
        <w:rPr>
          <w:snapToGrid w:val="0"/>
          <w:color w:val="000000" w:themeColor="text1"/>
          <w:szCs w:val="22"/>
          <w:bdr w:val="none" w:sz="0" w:space="0" w:color="auto" w:frame="1"/>
          <w:lang w:val="es-MX"/>
        </w:rPr>
        <w:t xml:space="preserve">, el </w:t>
      </w:r>
      <w:proofErr w:type="spellStart"/>
      <w:r w:rsidR="00616DD5" w:rsidRPr="005B1901">
        <w:rPr>
          <w:smallCaps/>
          <w:snapToGrid w:val="0"/>
          <w:color w:val="000000" w:themeColor="text1"/>
          <w:szCs w:val="22"/>
          <w:bdr w:val="none" w:sz="0" w:space="0" w:color="auto" w:frame="1"/>
          <w:lang w:val="es-MX"/>
        </w:rPr>
        <w:t>ipm</w:t>
      </w:r>
      <w:proofErr w:type="spellEnd"/>
      <w:r w:rsidR="00E81508" w:rsidRPr="005B1901">
        <w:rPr>
          <w:snapToGrid w:val="0"/>
          <w:color w:val="000000" w:themeColor="text1"/>
          <w:szCs w:val="22"/>
          <w:bdr w:val="none" w:sz="0" w:space="0" w:color="auto" w:frame="1"/>
          <w:lang w:val="es-MX"/>
        </w:rPr>
        <w:t xml:space="preserve"> presentó un aumento</w:t>
      </w:r>
      <w:r w:rsidR="00C32A43" w:rsidRPr="005B1901">
        <w:rPr>
          <w:snapToGrid w:val="0"/>
          <w:color w:val="000000" w:themeColor="text1"/>
          <w:szCs w:val="22"/>
          <w:bdr w:val="none" w:sz="0" w:space="0" w:color="auto" w:frame="1"/>
          <w:lang w:val="es-MX"/>
        </w:rPr>
        <w:t xml:space="preserve"> mensual de</w:t>
      </w:r>
      <w:r w:rsidR="00A3131C" w:rsidRPr="005B1901">
        <w:rPr>
          <w:snapToGrid w:val="0"/>
          <w:color w:val="000000" w:themeColor="text1"/>
          <w:szCs w:val="22"/>
          <w:bdr w:val="none" w:sz="0" w:space="0" w:color="auto" w:frame="1"/>
          <w:lang w:val="es-MX"/>
        </w:rPr>
        <w:t xml:space="preserve"> </w:t>
      </w:r>
      <w:r w:rsidR="00E81508" w:rsidRPr="005B1901">
        <w:rPr>
          <w:snapToGrid w:val="0"/>
          <w:color w:val="000000" w:themeColor="text1"/>
          <w:szCs w:val="22"/>
          <w:bdr w:val="none" w:sz="0" w:space="0" w:color="auto" w:frame="1"/>
          <w:lang w:val="es-MX"/>
        </w:rPr>
        <w:t>3.19</w:t>
      </w:r>
      <w:r w:rsidR="00C32A43" w:rsidRPr="005B1901">
        <w:rPr>
          <w:snapToGrid w:val="0"/>
          <w:color w:val="000000" w:themeColor="text1"/>
          <w:szCs w:val="22"/>
          <w:bdr w:val="none" w:sz="0" w:space="0" w:color="auto" w:frame="1"/>
          <w:lang w:val="es-MX"/>
        </w:rPr>
        <w:t xml:space="preserve"> puntos </w:t>
      </w:r>
      <w:r w:rsidR="008C4610" w:rsidRPr="005B1901">
        <w:rPr>
          <w:snapToGrid w:val="0"/>
          <w:color w:val="000000" w:themeColor="text1"/>
          <w:szCs w:val="22"/>
          <w:bdr w:val="none" w:sz="0" w:space="0" w:color="auto" w:frame="1"/>
          <w:lang w:val="es-MX"/>
        </w:rPr>
        <w:t xml:space="preserve">y se </w:t>
      </w:r>
      <w:r w:rsidR="00E81508" w:rsidRPr="005B1901">
        <w:rPr>
          <w:snapToGrid w:val="0"/>
          <w:color w:val="000000" w:themeColor="text1"/>
          <w:szCs w:val="22"/>
          <w:bdr w:val="none" w:sz="0" w:space="0" w:color="auto" w:frame="1"/>
          <w:lang w:val="es-MX"/>
        </w:rPr>
        <w:t>situó</w:t>
      </w:r>
      <w:r w:rsidR="008C4610" w:rsidRPr="005B1901">
        <w:rPr>
          <w:snapToGrid w:val="0"/>
          <w:color w:val="000000" w:themeColor="text1"/>
          <w:szCs w:val="22"/>
          <w:bdr w:val="none" w:sz="0" w:space="0" w:color="auto" w:frame="1"/>
          <w:lang w:val="es-MX"/>
        </w:rPr>
        <w:t xml:space="preserve"> en</w:t>
      </w:r>
      <w:r w:rsidR="00EE63B6" w:rsidRPr="005B1901">
        <w:rPr>
          <w:snapToGrid w:val="0"/>
          <w:color w:val="000000" w:themeColor="text1"/>
          <w:szCs w:val="22"/>
          <w:bdr w:val="none" w:sz="0" w:space="0" w:color="auto" w:frame="1"/>
          <w:lang w:val="es-MX"/>
        </w:rPr>
        <w:t xml:space="preserve"> </w:t>
      </w:r>
      <w:r w:rsidR="008853A7" w:rsidRPr="005B1901">
        <w:rPr>
          <w:snapToGrid w:val="0"/>
          <w:color w:val="000000" w:themeColor="text1"/>
          <w:szCs w:val="22"/>
          <w:bdr w:val="none" w:sz="0" w:space="0" w:color="auto" w:frame="1"/>
          <w:lang w:val="es-MX"/>
        </w:rPr>
        <w:t>5</w:t>
      </w:r>
      <w:r w:rsidR="00E81508" w:rsidRPr="005B1901">
        <w:rPr>
          <w:snapToGrid w:val="0"/>
          <w:color w:val="000000" w:themeColor="text1"/>
          <w:szCs w:val="22"/>
          <w:bdr w:val="none" w:sz="0" w:space="0" w:color="auto" w:frame="1"/>
          <w:lang w:val="es-MX"/>
        </w:rPr>
        <w:t>4</w:t>
      </w:r>
      <w:r w:rsidR="00EE63B6" w:rsidRPr="005B1901">
        <w:rPr>
          <w:snapToGrid w:val="0"/>
          <w:color w:val="000000" w:themeColor="text1"/>
          <w:szCs w:val="22"/>
          <w:bdr w:val="none" w:sz="0" w:space="0" w:color="auto" w:frame="1"/>
          <w:lang w:val="es-MX"/>
        </w:rPr>
        <w:t xml:space="preserve"> puntos</w:t>
      </w:r>
      <w:r w:rsidR="00A06211" w:rsidRPr="005B1901">
        <w:rPr>
          <w:snapToGrid w:val="0"/>
          <w:color w:val="000000" w:themeColor="text1"/>
          <w:szCs w:val="22"/>
          <w:bdr w:val="none" w:sz="0" w:space="0" w:color="auto" w:frame="1"/>
          <w:lang w:val="es-MX"/>
        </w:rPr>
        <w:t xml:space="preserve">, </w:t>
      </w:r>
      <w:r w:rsidR="001F1C2F" w:rsidRPr="005B1901">
        <w:rPr>
          <w:snapToGrid w:val="0"/>
          <w:color w:val="000000" w:themeColor="text1"/>
          <w:szCs w:val="22"/>
          <w:bdr w:val="none" w:sz="0" w:space="0" w:color="auto" w:frame="1"/>
          <w:lang w:val="es-MX"/>
        </w:rPr>
        <w:t xml:space="preserve">con esto </w:t>
      </w:r>
      <w:r w:rsidR="00E81508" w:rsidRPr="005B1901">
        <w:rPr>
          <w:snapToGrid w:val="0"/>
          <w:color w:val="000000" w:themeColor="text1"/>
          <w:szCs w:val="22"/>
          <w:bdr w:val="none" w:sz="0" w:space="0" w:color="auto" w:frame="1"/>
          <w:lang w:val="es-MX"/>
        </w:rPr>
        <w:t>permanece por segundo mes consecutivo por arriba del umbral de los 50 puntos</w:t>
      </w:r>
      <w:r w:rsidR="00EE63B6" w:rsidRPr="005B1901">
        <w:rPr>
          <w:snapToGrid w:val="0"/>
          <w:color w:val="000000" w:themeColor="text1"/>
          <w:szCs w:val="22"/>
          <w:bdr w:val="none" w:sz="0" w:space="0" w:color="auto" w:frame="1"/>
          <w:lang w:val="es-MX"/>
        </w:rPr>
        <w:t>.</w:t>
      </w:r>
      <w:r w:rsidR="00C32A43" w:rsidRPr="005B1901">
        <w:rPr>
          <w:snapToGrid w:val="0"/>
          <w:color w:val="000000" w:themeColor="text1"/>
          <w:szCs w:val="22"/>
          <w:bdr w:val="none" w:sz="0" w:space="0" w:color="auto" w:frame="1"/>
          <w:lang w:val="es-MX"/>
        </w:rPr>
        <w:t xml:space="preserve"> </w:t>
      </w:r>
      <w:r w:rsidR="00E81508" w:rsidRPr="005B1901">
        <w:rPr>
          <w:snapToGrid w:val="0"/>
          <w:color w:val="000000" w:themeColor="text1"/>
          <w:szCs w:val="22"/>
          <w:bdr w:val="none" w:sz="0" w:space="0" w:color="auto" w:frame="1"/>
          <w:lang w:val="es-MX"/>
        </w:rPr>
        <w:t>A su interior</w:t>
      </w:r>
      <w:r w:rsidR="008853A7" w:rsidRPr="005B1901">
        <w:rPr>
          <w:snapToGrid w:val="0"/>
          <w:color w:val="000000" w:themeColor="text1"/>
          <w:szCs w:val="22"/>
          <w:bdr w:val="none" w:sz="0" w:space="0" w:color="auto" w:frame="1"/>
          <w:lang w:val="es-MX"/>
        </w:rPr>
        <w:t xml:space="preserve">, </w:t>
      </w:r>
      <w:r w:rsidR="00E81508" w:rsidRPr="005B1901">
        <w:rPr>
          <w:snapToGrid w:val="0"/>
          <w:color w:val="000000" w:themeColor="text1"/>
          <w:szCs w:val="22"/>
          <w:bdr w:val="none" w:sz="0" w:space="0" w:color="auto" w:frame="1"/>
          <w:lang w:val="es-MX"/>
        </w:rPr>
        <w:t>se reportaron incrementos</w:t>
      </w:r>
      <w:r w:rsidR="00A3131C" w:rsidRPr="005B1901">
        <w:rPr>
          <w:snapToGrid w:val="0"/>
          <w:color w:val="000000" w:themeColor="text1"/>
          <w:szCs w:val="22"/>
          <w:bdr w:val="none" w:sz="0" w:space="0" w:color="auto" w:frame="1"/>
          <w:lang w:val="es-MX"/>
        </w:rPr>
        <w:t xml:space="preserve"> </w:t>
      </w:r>
      <w:r w:rsidR="00C32A43" w:rsidRPr="005B1901">
        <w:rPr>
          <w:snapToGrid w:val="0"/>
          <w:color w:val="000000" w:themeColor="text1"/>
          <w:szCs w:val="22"/>
          <w:bdr w:val="none" w:sz="0" w:space="0" w:color="auto" w:frame="1"/>
          <w:lang w:val="es-MX"/>
        </w:rPr>
        <w:t>mensuales</w:t>
      </w:r>
      <w:r w:rsidR="00E81508" w:rsidRPr="005B1901">
        <w:rPr>
          <w:snapToGrid w:val="0"/>
          <w:color w:val="000000" w:themeColor="text1"/>
          <w:szCs w:val="22"/>
          <w:bdr w:val="none" w:sz="0" w:space="0" w:color="auto" w:frame="1"/>
          <w:lang w:val="es-MX"/>
        </w:rPr>
        <w:t xml:space="preserve"> en todos</w:t>
      </w:r>
      <w:r w:rsidR="00C32A43" w:rsidRPr="005B1901">
        <w:rPr>
          <w:snapToGrid w:val="0"/>
          <w:color w:val="000000" w:themeColor="text1"/>
          <w:szCs w:val="22"/>
          <w:bdr w:val="none" w:sz="0" w:space="0" w:color="auto" w:frame="1"/>
          <w:lang w:val="es-MX"/>
        </w:rPr>
        <w:t xml:space="preserve"> los</w:t>
      </w:r>
      <w:r w:rsidR="00A51AFA" w:rsidRPr="005B1901">
        <w:rPr>
          <w:snapToGrid w:val="0"/>
          <w:color w:val="000000" w:themeColor="text1"/>
          <w:szCs w:val="22"/>
          <w:bdr w:val="none" w:sz="0" w:space="0" w:color="auto" w:frame="1"/>
          <w:lang w:val="es-MX"/>
        </w:rPr>
        <w:t xml:space="preserve"> rubros </w:t>
      </w:r>
      <w:r w:rsidR="00E81508" w:rsidRPr="005B1901">
        <w:rPr>
          <w:snapToGrid w:val="0"/>
          <w:color w:val="000000" w:themeColor="text1"/>
          <w:szCs w:val="22"/>
          <w:bdr w:val="none" w:sz="0" w:space="0" w:color="auto" w:frame="1"/>
          <w:lang w:val="es-MX"/>
        </w:rPr>
        <w:t xml:space="preserve">que lo integran: </w:t>
      </w:r>
      <w:r w:rsidR="00EE63B6" w:rsidRPr="005B1901">
        <w:rPr>
          <w:snapToGrid w:val="0"/>
          <w:color w:val="000000" w:themeColor="text1"/>
          <w:szCs w:val="22"/>
          <w:bdr w:val="none" w:sz="0" w:space="0" w:color="auto" w:frame="1"/>
          <w:lang w:val="es-MX"/>
        </w:rPr>
        <w:t>pedidos esperados,</w:t>
      </w:r>
      <w:r w:rsidR="00A3131C" w:rsidRPr="005B1901">
        <w:rPr>
          <w:snapToGrid w:val="0"/>
          <w:color w:val="000000" w:themeColor="text1"/>
          <w:szCs w:val="22"/>
          <w:bdr w:val="none" w:sz="0" w:space="0" w:color="auto" w:frame="1"/>
          <w:lang w:val="es-MX"/>
        </w:rPr>
        <w:t xml:space="preserve"> producción esperada</w:t>
      </w:r>
      <w:r w:rsidR="008853A7" w:rsidRPr="005B1901">
        <w:rPr>
          <w:snapToGrid w:val="0"/>
          <w:color w:val="000000" w:themeColor="text1"/>
          <w:szCs w:val="22"/>
          <w:bdr w:val="none" w:sz="0" w:space="0" w:color="auto" w:frame="1"/>
          <w:lang w:val="es-MX"/>
        </w:rPr>
        <w:t>,</w:t>
      </w:r>
      <w:r w:rsidR="00A3131C" w:rsidRPr="005B1901">
        <w:rPr>
          <w:snapToGrid w:val="0"/>
          <w:color w:val="000000" w:themeColor="text1"/>
          <w:szCs w:val="22"/>
          <w:bdr w:val="none" w:sz="0" w:space="0" w:color="auto" w:frame="1"/>
          <w:lang w:val="es-MX"/>
        </w:rPr>
        <w:t xml:space="preserve"> </w:t>
      </w:r>
      <w:r w:rsidR="008853A7" w:rsidRPr="005B1901">
        <w:rPr>
          <w:snapToGrid w:val="0"/>
          <w:color w:val="000000" w:themeColor="text1"/>
          <w:szCs w:val="22"/>
          <w:bdr w:val="none" w:sz="0" w:space="0" w:color="auto" w:frame="1"/>
          <w:lang w:val="es-MX"/>
        </w:rPr>
        <w:t>personal ocupado</w:t>
      </w:r>
      <w:r w:rsidR="00E81508" w:rsidRPr="005B1901">
        <w:rPr>
          <w:snapToGrid w:val="0"/>
          <w:color w:val="000000" w:themeColor="text1"/>
          <w:szCs w:val="22"/>
          <w:bdr w:val="none" w:sz="0" w:space="0" w:color="auto" w:frame="1"/>
          <w:lang w:val="es-MX"/>
        </w:rPr>
        <w:t xml:space="preserve">, </w:t>
      </w:r>
      <w:r w:rsidR="00EE63B6" w:rsidRPr="005B1901">
        <w:rPr>
          <w:snapToGrid w:val="0"/>
          <w:color w:val="000000" w:themeColor="text1"/>
          <w:szCs w:val="22"/>
          <w:bdr w:val="none" w:sz="0" w:space="0" w:color="auto" w:frame="1"/>
          <w:lang w:val="es-MX"/>
        </w:rPr>
        <w:t xml:space="preserve">oportunidad en la entrega de insumos por parte de </w:t>
      </w:r>
      <w:r w:rsidR="006070B1" w:rsidRPr="005B1901">
        <w:rPr>
          <w:snapToGrid w:val="0"/>
          <w:color w:val="000000" w:themeColor="text1"/>
          <w:szCs w:val="22"/>
          <w:bdr w:val="none" w:sz="0" w:space="0" w:color="auto" w:frame="1"/>
          <w:lang w:val="es-MX"/>
        </w:rPr>
        <w:t xml:space="preserve">las y </w:t>
      </w:r>
      <w:r w:rsidR="00EE63B6" w:rsidRPr="005B1901">
        <w:rPr>
          <w:snapToGrid w:val="0"/>
          <w:color w:val="000000" w:themeColor="text1"/>
          <w:szCs w:val="22"/>
          <w:bdr w:val="none" w:sz="0" w:space="0" w:color="auto" w:frame="1"/>
          <w:lang w:val="es-MX"/>
        </w:rPr>
        <w:t>los proveedores</w:t>
      </w:r>
      <w:r w:rsidR="00E81508" w:rsidRPr="005B1901">
        <w:rPr>
          <w:snapToGrid w:val="0"/>
          <w:color w:val="000000" w:themeColor="text1"/>
          <w:szCs w:val="22"/>
          <w:bdr w:val="none" w:sz="0" w:space="0" w:color="auto" w:frame="1"/>
          <w:lang w:val="es-MX"/>
        </w:rPr>
        <w:t xml:space="preserve"> e </w:t>
      </w:r>
      <w:r w:rsidR="00A3131C" w:rsidRPr="005B1901">
        <w:rPr>
          <w:snapToGrid w:val="0"/>
          <w:color w:val="000000" w:themeColor="text1"/>
          <w:szCs w:val="22"/>
          <w:bdr w:val="none" w:sz="0" w:space="0" w:color="auto" w:frame="1"/>
          <w:lang w:val="es-MX"/>
        </w:rPr>
        <w:t>inventarios de insumos</w:t>
      </w:r>
      <w:r w:rsidR="00EE63B6" w:rsidRPr="005B1901">
        <w:rPr>
          <w:snapToGrid w:val="0"/>
          <w:color w:val="000000" w:themeColor="text1"/>
          <w:szCs w:val="22"/>
          <w:bdr w:val="none" w:sz="0" w:space="0" w:color="auto" w:frame="1"/>
          <w:lang w:val="es-MX"/>
        </w:rPr>
        <w:t>.</w:t>
      </w:r>
    </w:p>
    <w:p w14:paraId="2588850A" w14:textId="77777777" w:rsidR="005B1901" w:rsidRDefault="005B1901" w:rsidP="005B1901">
      <w:pPr>
        <w:pStyle w:val="Prrafodelista"/>
        <w:spacing w:before="240"/>
        <w:ind w:left="0" w:right="51"/>
        <w:rPr>
          <w:snapToGrid w:val="0"/>
          <w:color w:val="000000" w:themeColor="text1"/>
          <w:szCs w:val="22"/>
          <w:bdr w:val="none" w:sz="0" w:space="0" w:color="auto" w:frame="1"/>
          <w:lang w:val="es-MX"/>
        </w:rPr>
      </w:pPr>
    </w:p>
    <w:p w14:paraId="06E03F22" w14:textId="71460DFC" w:rsidR="005B1901" w:rsidRPr="00B61114" w:rsidRDefault="005B1901" w:rsidP="005B1901">
      <w:pPr>
        <w:widowControl w:val="0"/>
        <w:jc w:val="center"/>
        <w:outlineLvl w:val="0"/>
        <w:rPr>
          <w:b/>
          <w:bCs/>
          <w:smallCaps/>
          <w:kern w:val="32"/>
          <w:sz w:val="22"/>
        </w:rPr>
      </w:pPr>
      <w:r w:rsidRPr="00B61114">
        <w:rPr>
          <w:b/>
          <w:smallCaps/>
          <w:sz w:val="22"/>
        </w:rPr>
        <w:t>serie desestacionalizada y de tendencia-ciclo</w:t>
      </w:r>
      <w:r>
        <w:rPr>
          <w:b/>
          <w:smallCaps/>
          <w:sz w:val="22"/>
        </w:rPr>
        <w:t xml:space="preserve"> </w:t>
      </w:r>
      <w:r w:rsidRPr="00B61114">
        <w:rPr>
          <w:b/>
          <w:bCs/>
          <w:smallCaps/>
          <w:kern w:val="32"/>
          <w:sz w:val="22"/>
        </w:rPr>
        <w:t xml:space="preserve">del </w:t>
      </w:r>
      <w:proofErr w:type="spellStart"/>
      <w:r w:rsidRPr="00B61114">
        <w:rPr>
          <w:b/>
          <w:bCs/>
          <w:smallCaps/>
          <w:kern w:val="32"/>
          <w:sz w:val="22"/>
        </w:rPr>
        <w:t>i</w:t>
      </w:r>
      <w:r>
        <w:rPr>
          <w:b/>
          <w:bCs/>
          <w:smallCaps/>
          <w:kern w:val="32"/>
          <w:sz w:val="22"/>
        </w:rPr>
        <w:t>pm</w:t>
      </w:r>
      <w:proofErr w:type="spellEnd"/>
    </w:p>
    <w:p w14:paraId="63E29E0B" w14:textId="77777777" w:rsidR="005B1901" w:rsidRPr="00B61114" w:rsidRDefault="005B1901" w:rsidP="005B1901">
      <w:pPr>
        <w:jc w:val="center"/>
        <w:rPr>
          <w:bCs/>
          <w:sz w:val="20"/>
          <w:szCs w:val="20"/>
        </w:rPr>
      </w:pPr>
      <w:r w:rsidRPr="00B61114">
        <w:rPr>
          <w:bCs/>
          <w:sz w:val="20"/>
          <w:szCs w:val="20"/>
        </w:rPr>
        <w:t xml:space="preserve">a </w:t>
      </w:r>
      <w:r>
        <w:rPr>
          <w:bCs/>
          <w:sz w:val="20"/>
          <w:szCs w:val="20"/>
        </w:rPr>
        <w:t>febrero</w:t>
      </w:r>
      <w:r w:rsidRPr="00B61114">
        <w:rPr>
          <w:bCs/>
          <w:sz w:val="20"/>
          <w:szCs w:val="20"/>
        </w:rPr>
        <w:t xml:space="preserve"> de 202</w:t>
      </w:r>
      <w:r>
        <w:rPr>
          <w:bCs/>
          <w:sz w:val="20"/>
          <w:szCs w:val="20"/>
        </w:rPr>
        <w:t>4</w:t>
      </w:r>
    </w:p>
    <w:p w14:paraId="07D5E9A9" w14:textId="77777777" w:rsidR="005B1901" w:rsidRPr="00B61114" w:rsidRDefault="005B1901" w:rsidP="005B1901">
      <w:pPr>
        <w:widowControl w:val="0"/>
        <w:jc w:val="center"/>
        <w:outlineLvl w:val="0"/>
        <w:rPr>
          <w:b/>
          <w:bCs/>
          <w:smallCaps/>
          <w:kern w:val="32"/>
          <w:sz w:val="22"/>
        </w:rPr>
      </w:pPr>
      <w:r w:rsidRPr="00B61114">
        <w:rPr>
          <w:kern w:val="32"/>
          <w:sz w:val="18"/>
          <w:szCs w:val="18"/>
        </w:rPr>
        <w:t>(puntos)</w:t>
      </w:r>
      <w:r w:rsidRPr="00B61114">
        <w:rPr>
          <w:b/>
          <w:bCs/>
          <w:smallCaps/>
          <w:kern w:val="32"/>
          <w:sz w:val="22"/>
        </w:rPr>
        <w:t xml:space="preserve"> </w:t>
      </w:r>
    </w:p>
    <w:p w14:paraId="3471ADD2" w14:textId="77777777" w:rsidR="005B1901" w:rsidRPr="00B61114" w:rsidRDefault="005B1901" w:rsidP="005B1901">
      <w:pPr>
        <w:widowControl w:val="0"/>
        <w:spacing w:after="10"/>
        <w:jc w:val="center"/>
        <w:outlineLvl w:val="0"/>
        <w:rPr>
          <w:b/>
          <w:bCs/>
          <w:smallCaps/>
          <w:kern w:val="32"/>
        </w:rPr>
      </w:pPr>
      <w:r>
        <w:rPr>
          <w:noProof/>
        </w:rPr>
        <w:drawing>
          <wp:inline distT="0" distB="0" distL="0" distR="0" wp14:anchorId="387FE31F" wp14:editId="1D38F43B">
            <wp:extent cx="5400000" cy="2700000"/>
            <wp:effectExtent l="0" t="0" r="10795" b="5715"/>
            <wp:docPr id="1886434075"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261853" w14:textId="6266CDA5" w:rsidR="005B1901" w:rsidRPr="005B1901" w:rsidRDefault="005B1901" w:rsidP="005B1901">
      <w:pPr>
        <w:widowControl w:val="0"/>
        <w:spacing w:before="20"/>
        <w:ind w:left="1134" w:right="1610" w:hanging="283"/>
        <w:outlineLvl w:val="0"/>
        <w:rPr>
          <w:b/>
          <w:bCs/>
          <w:smallCaps/>
          <w:spacing w:val="-4"/>
          <w:kern w:val="32"/>
          <w:sz w:val="16"/>
          <w:szCs w:val="16"/>
        </w:rPr>
      </w:pPr>
      <w:r w:rsidRPr="005B1901">
        <w:rPr>
          <w:spacing w:val="-4"/>
          <w:sz w:val="16"/>
          <w:szCs w:val="16"/>
        </w:rPr>
        <w:t xml:space="preserve">Fuente: </w:t>
      </w:r>
      <w:r w:rsidRPr="005B1901">
        <w:rPr>
          <w:smallCaps/>
          <w:spacing w:val="-4"/>
          <w:sz w:val="16"/>
          <w:szCs w:val="16"/>
        </w:rPr>
        <w:t>inegi</w:t>
      </w:r>
      <w:r w:rsidRPr="005B1901">
        <w:rPr>
          <w:spacing w:val="-4"/>
          <w:sz w:val="16"/>
          <w:szCs w:val="16"/>
        </w:rPr>
        <w:t xml:space="preserve"> y Banco de México. </w:t>
      </w:r>
      <w:proofErr w:type="spellStart"/>
      <w:r w:rsidRPr="005B1901">
        <w:rPr>
          <w:smallCaps/>
          <w:spacing w:val="-4"/>
          <w:sz w:val="16"/>
          <w:szCs w:val="16"/>
        </w:rPr>
        <w:t>emoe</w:t>
      </w:r>
      <w:proofErr w:type="spellEnd"/>
      <w:r w:rsidRPr="005B1901">
        <w:rPr>
          <w:spacing w:val="-4"/>
          <w:sz w:val="16"/>
          <w:szCs w:val="16"/>
        </w:rPr>
        <w:t>. Series elaboradas mediante métodos econométricos, 2024.</w:t>
      </w:r>
    </w:p>
    <w:p w14:paraId="4F266D67" w14:textId="77777777" w:rsidR="005B1901" w:rsidRPr="005B1901" w:rsidRDefault="005B1901" w:rsidP="005B1901">
      <w:pPr>
        <w:pStyle w:val="Prrafodelista"/>
        <w:spacing w:before="240"/>
        <w:ind w:left="0" w:right="51"/>
        <w:rPr>
          <w:snapToGrid w:val="0"/>
          <w:color w:val="000000" w:themeColor="text1"/>
          <w:szCs w:val="22"/>
          <w:bdr w:val="none" w:sz="0" w:space="0" w:color="auto" w:frame="1"/>
        </w:rPr>
      </w:pPr>
    </w:p>
    <w:p w14:paraId="00FF8B50" w14:textId="77777777" w:rsidR="005B1901" w:rsidRDefault="005B1901" w:rsidP="005B1901">
      <w:pPr>
        <w:pStyle w:val="Prrafodelista"/>
        <w:spacing w:before="240"/>
        <w:ind w:left="0" w:right="51"/>
        <w:rPr>
          <w:snapToGrid w:val="0"/>
          <w:color w:val="000000" w:themeColor="text1"/>
          <w:szCs w:val="22"/>
          <w:bdr w:val="none" w:sz="0" w:space="0" w:color="auto" w:frame="1"/>
          <w:lang w:val="es-MX"/>
        </w:rPr>
      </w:pPr>
    </w:p>
    <w:p w14:paraId="37AEE96B" w14:textId="77777777" w:rsidR="005B1901" w:rsidRDefault="005B1901" w:rsidP="005B1901">
      <w:pPr>
        <w:pStyle w:val="Prrafodelista"/>
        <w:spacing w:before="240"/>
        <w:ind w:left="0" w:right="51"/>
        <w:rPr>
          <w:snapToGrid w:val="0"/>
          <w:color w:val="000000" w:themeColor="text1"/>
          <w:szCs w:val="22"/>
          <w:bdr w:val="none" w:sz="0" w:space="0" w:color="auto" w:frame="1"/>
          <w:lang w:val="es-MX"/>
        </w:rPr>
      </w:pPr>
    </w:p>
    <w:p w14:paraId="509F32F5" w14:textId="225BE732" w:rsidR="005B1901" w:rsidRPr="00B61114" w:rsidRDefault="005B1901" w:rsidP="005B1901">
      <w:pPr>
        <w:jc w:val="center"/>
        <w:outlineLvl w:val="0"/>
        <w:rPr>
          <w:b/>
          <w:smallCaps/>
          <w:sz w:val="22"/>
        </w:rPr>
      </w:pPr>
      <w:r>
        <w:rPr>
          <w:b/>
          <w:smallCaps/>
          <w:sz w:val="22"/>
        </w:rPr>
        <w:t xml:space="preserve"> </w:t>
      </w:r>
      <w:proofErr w:type="spellStart"/>
      <w:r w:rsidR="006707D0">
        <w:rPr>
          <w:b/>
          <w:smallCaps/>
          <w:sz w:val="22"/>
        </w:rPr>
        <w:t>ipm</w:t>
      </w:r>
      <w:proofErr w:type="spellEnd"/>
      <w:r w:rsidR="006707D0">
        <w:rPr>
          <w:b/>
          <w:smallCaps/>
          <w:sz w:val="22"/>
        </w:rPr>
        <w:t xml:space="preserve"> </w:t>
      </w:r>
      <w:r w:rsidRPr="00B61114">
        <w:rPr>
          <w:b/>
          <w:smallCaps/>
          <w:sz w:val="22"/>
        </w:rPr>
        <w:t>y sus componentes</w:t>
      </w:r>
    </w:p>
    <w:p w14:paraId="0672CE2E" w14:textId="77777777" w:rsidR="005B1901" w:rsidRPr="00B61114" w:rsidRDefault="005B1901" w:rsidP="005B1901">
      <w:pPr>
        <w:jc w:val="center"/>
        <w:outlineLvl w:val="0"/>
        <w:rPr>
          <w:b/>
          <w:smallCaps/>
          <w:sz w:val="20"/>
          <w:szCs w:val="20"/>
        </w:rPr>
      </w:pPr>
      <w:r w:rsidRPr="00B61114">
        <w:rPr>
          <w:b/>
          <w:smallCaps/>
          <w:sz w:val="20"/>
          <w:szCs w:val="20"/>
        </w:rPr>
        <w:t>cifras desestacionalizadas</w:t>
      </w:r>
    </w:p>
    <w:p w14:paraId="7D5C60C5" w14:textId="77777777" w:rsidR="005B1901" w:rsidRPr="00B61114" w:rsidRDefault="005B1901" w:rsidP="005B1901">
      <w:pPr>
        <w:keepNext/>
        <w:keepLines/>
        <w:widowControl w:val="0"/>
        <w:jc w:val="center"/>
        <w:outlineLvl w:val="0"/>
        <w:rPr>
          <w:bCs/>
          <w:sz w:val="20"/>
          <w:szCs w:val="20"/>
        </w:rPr>
      </w:pPr>
      <w:r>
        <w:rPr>
          <w:bCs/>
          <w:sz w:val="20"/>
          <w:szCs w:val="20"/>
        </w:rPr>
        <w:t>enero y febrero</w:t>
      </w:r>
      <w:r w:rsidRPr="00B61114">
        <w:rPr>
          <w:bCs/>
          <w:sz w:val="20"/>
          <w:szCs w:val="20"/>
        </w:rPr>
        <w:t xml:space="preserve"> de 202</w:t>
      </w:r>
      <w:r>
        <w:rPr>
          <w:bCs/>
          <w:sz w:val="20"/>
          <w:szCs w:val="20"/>
        </w:rPr>
        <w:t>4</w:t>
      </w:r>
    </w:p>
    <w:tbl>
      <w:tblPr>
        <w:tblW w:w="5000" w:type="pct"/>
        <w:jc w:val="center"/>
        <w:tblLayout w:type="fixed"/>
        <w:tblCellMar>
          <w:left w:w="70" w:type="dxa"/>
          <w:right w:w="70" w:type="dxa"/>
        </w:tblCellMar>
        <w:tblLook w:val="0000" w:firstRow="0" w:lastRow="0" w:firstColumn="0" w:lastColumn="0" w:noHBand="0" w:noVBand="0"/>
      </w:tblPr>
      <w:tblGrid>
        <w:gridCol w:w="5264"/>
        <w:gridCol w:w="997"/>
        <w:gridCol w:w="997"/>
        <w:gridCol w:w="997"/>
        <w:gridCol w:w="470"/>
        <w:gridCol w:w="1239"/>
      </w:tblGrid>
      <w:tr w:rsidR="005B1901" w:rsidRPr="00B61114" w14:paraId="796F46A7" w14:textId="77777777" w:rsidTr="00921843">
        <w:trPr>
          <w:cantSplit/>
          <w:trHeight w:val="624"/>
          <w:jc w:val="center"/>
        </w:trPr>
        <w:tc>
          <w:tcPr>
            <w:tcW w:w="52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BF97042" w14:textId="77777777" w:rsidR="005B1901" w:rsidRPr="00B61114" w:rsidRDefault="005B1901" w:rsidP="00921843">
            <w:pPr>
              <w:spacing w:before="60" w:after="60" w:line="240" w:lineRule="atLeast"/>
              <w:jc w:val="left"/>
              <w:rPr>
                <w:sz w:val="18"/>
                <w:szCs w:val="18"/>
              </w:rPr>
            </w:pPr>
            <w:r w:rsidRPr="00B61114">
              <w:rPr>
                <w:sz w:val="18"/>
                <w:szCs w:val="18"/>
              </w:rPr>
              <w:t>Indicador y componentes</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B547636" w14:textId="77777777" w:rsidR="005B1901" w:rsidRPr="00B61114" w:rsidRDefault="005B1901" w:rsidP="00921843">
            <w:pPr>
              <w:spacing w:line="240" w:lineRule="atLeast"/>
              <w:ind w:left="-55" w:right="-54"/>
              <w:jc w:val="center"/>
              <w:rPr>
                <w:sz w:val="18"/>
                <w:szCs w:val="18"/>
              </w:rPr>
            </w:pPr>
            <w:r>
              <w:rPr>
                <w:sz w:val="18"/>
                <w:szCs w:val="18"/>
              </w:rPr>
              <w:t>Enero</w:t>
            </w:r>
            <w:r w:rsidRPr="00B61114">
              <w:rPr>
                <w:sz w:val="18"/>
                <w:szCs w:val="18"/>
              </w:rPr>
              <w:br/>
              <w:t>de 202</w:t>
            </w:r>
            <w:r>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247AE1D" w14:textId="77777777" w:rsidR="005B1901" w:rsidRPr="00B61114" w:rsidRDefault="005B1901" w:rsidP="00921843">
            <w:pPr>
              <w:spacing w:line="240" w:lineRule="atLeast"/>
              <w:ind w:left="-70" w:right="-57"/>
              <w:jc w:val="center"/>
              <w:rPr>
                <w:sz w:val="18"/>
                <w:szCs w:val="18"/>
              </w:rPr>
            </w:pPr>
            <w:r>
              <w:rPr>
                <w:sz w:val="18"/>
                <w:szCs w:val="18"/>
              </w:rPr>
              <w:t>Febrero</w:t>
            </w:r>
            <w:r w:rsidRPr="00B61114">
              <w:rPr>
                <w:sz w:val="18"/>
                <w:szCs w:val="18"/>
              </w:rPr>
              <w:t xml:space="preserve"> </w:t>
            </w:r>
            <w:r w:rsidRPr="00B61114">
              <w:rPr>
                <w:sz w:val="18"/>
                <w:szCs w:val="18"/>
              </w:rPr>
              <w:br/>
              <w:t>de 202</w:t>
            </w:r>
            <w:r>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2EF66BA" w14:textId="77777777" w:rsidR="005B1901" w:rsidRPr="00B61114" w:rsidRDefault="005B1901" w:rsidP="00921843">
            <w:pPr>
              <w:spacing w:before="60" w:after="60" w:line="240" w:lineRule="atLeast"/>
              <w:ind w:left="-56" w:right="-28"/>
              <w:jc w:val="center"/>
              <w:rPr>
                <w:sz w:val="18"/>
                <w:szCs w:val="18"/>
              </w:rPr>
            </w:pPr>
            <w:r w:rsidRPr="00B61114">
              <w:rPr>
                <w:sz w:val="18"/>
                <w:szCs w:val="18"/>
              </w:rPr>
              <w:t>Diferencia en puntos</w:t>
            </w:r>
            <w:r w:rsidRPr="00B61114">
              <w:rPr>
                <w:sz w:val="18"/>
                <w:szCs w:val="18"/>
                <w:vertAlign w:val="superscript"/>
              </w:rPr>
              <w:t>1/</w:t>
            </w:r>
          </w:p>
        </w:tc>
        <w:tc>
          <w:tcPr>
            <w:tcW w:w="1709" w:type="dxa"/>
            <w:gridSpan w:val="2"/>
            <w:tcBorders>
              <w:top w:val="single" w:sz="4" w:space="0" w:color="404040"/>
              <w:left w:val="single" w:sz="4" w:space="0" w:color="404040"/>
              <w:bottom w:val="single" w:sz="4" w:space="0" w:color="404040"/>
              <w:right w:val="single" w:sz="4" w:space="0" w:color="404040"/>
            </w:tcBorders>
            <w:shd w:val="clear" w:color="auto" w:fill="CCCCFF"/>
          </w:tcPr>
          <w:p w14:paraId="4544BF64" w14:textId="77777777" w:rsidR="005B1901" w:rsidRPr="00B61114" w:rsidRDefault="005B1901" w:rsidP="00921843">
            <w:pPr>
              <w:spacing w:before="40" w:after="40" w:line="240" w:lineRule="atLeast"/>
              <w:jc w:val="center"/>
              <w:rPr>
                <w:sz w:val="18"/>
                <w:szCs w:val="18"/>
              </w:rPr>
            </w:pPr>
            <w:r w:rsidRPr="00B61114">
              <w:rPr>
                <w:sz w:val="18"/>
                <w:szCs w:val="18"/>
              </w:rPr>
              <w:t>Número de meses consecutivos por arriba o por debajo del umbral de</w:t>
            </w:r>
            <w:r w:rsidRPr="00B61114">
              <w:rPr>
                <w:sz w:val="18"/>
                <w:szCs w:val="18"/>
              </w:rPr>
              <w:br/>
              <w:t xml:space="preserve">50 puntos </w:t>
            </w:r>
          </w:p>
        </w:tc>
      </w:tr>
      <w:tr w:rsidR="005B1901" w:rsidRPr="00B61114" w14:paraId="73063EE7" w14:textId="77777777" w:rsidTr="00921843">
        <w:trPr>
          <w:cantSplit/>
          <w:trHeight w:val="20"/>
          <w:jc w:val="center"/>
        </w:trPr>
        <w:tc>
          <w:tcPr>
            <w:tcW w:w="5264" w:type="dxa"/>
            <w:tcBorders>
              <w:top w:val="single" w:sz="4" w:space="0" w:color="404040"/>
              <w:left w:val="single" w:sz="4" w:space="0" w:color="404040"/>
              <w:right w:val="single" w:sz="4" w:space="0" w:color="404040"/>
            </w:tcBorders>
            <w:vAlign w:val="center"/>
          </w:tcPr>
          <w:p w14:paraId="3CF66104" w14:textId="77777777" w:rsidR="005B1901" w:rsidRPr="00B61114" w:rsidRDefault="005B1901" w:rsidP="00921843">
            <w:pPr>
              <w:tabs>
                <w:tab w:val="left" w:pos="339"/>
              </w:tabs>
              <w:spacing w:before="20" w:after="20"/>
              <w:ind w:left="323" w:hanging="306"/>
              <w:jc w:val="left"/>
              <w:rPr>
                <w:b/>
                <w:sz w:val="18"/>
                <w:szCs w:val="18"/>
              </w:rPr>
            </w:pPr>
            <w:r w:rsidRPr="00B61114">
              <w:rPr>
                <w:b/>
                <w:sz w:val="18"/>
                <w:szCs w:val="18"/>
              </w:rPr>
              <w:t>Indicador de Pedidos Manufactureros</w:t>
            </w:r>
          </w:p>
        </w:tc>
        <w:tc>
          <w:tcPr>
            <w:tcW w:w="997" w:type="dxa"/>
            <w:tcBorders>
              <w:top w:val="single" w:sz="4" w:space="0" w:color="404040"/>
              <w:left w:val="single" w:sz="4" w:space="0" w:color="404040"/>
              <w:right w:val="single" w:sz="4" w:space="0" w:color="404040"/>
            </w:tcBorders>
            <w:vAlign w:val="center"/>
          </w:tcPr>
          <w:p w14:paraId="52F4A31B" w14:textId="77777777" w:rsidR="005B1901" w:rsidRPr="00710D9F" w:rsidRDefault="005B1901" w:rsidP="00921843">
            <w:pPr>
              <w:tabs>
                <w:tab w:val="decimal" w:pos="435"/>
              </w:tabs>
              <w:jc w:val="left"/>
              <w:rPr>
                <w:b/>
                <w:bCs/>
                <w:sz w:val="18"/>
                <w:szCs w:val="18"/>
                <w:lang w:val="es-MX" w:eastAsia="es-MX"/>
              </w:rPr>
            </w:pPr>
            <w:r w:rsidRPr="00710D9F">
              <w:rPr>
                <w:b/>
                <w:bCs/>
                <w:sz w:val="18"/>
                <w:szCs w:val="18"/>
              </w:rPr>
              <w:t xml:space="preserve">50.8 </w:t>
            </w:r>
          </w:p>
        </w:tc>
        <w:tc>
          <w:tcPr>
            <w:tcW w:w="997" w:type="dxa"/>
            <w:tcBorders>
              <w:top w:val="single" w:sz="4" w:space="0" w:color="404040"/>
              <w:left w:val="single" w:sz="4" w:space="0" w:color="404040"/>
              <w:right w:val="single" w:sz="4" w:space="0" w:color="404040"/>
            </w:tcBorders>
            <w:vAlign w:val="center"/>
          </w:tcPr>
          <w:p w14:paraId="0E2215AF" w14:textId="77777777" w:rsidR="005B1901" w:rsidRPr="00710D9F" w:rsidRDefault="005B1901" w:rsidP="00921843">
            <w:pPr>
              <w:tabs>
                <w:tab w:val="decimal" w:pos="435"/>
              </w:tabs>
              <w:jc w:val="left"/>
              <w:rPr>
                <w:b/>
                <w:bCs/>
                <w:sz w:val="18"/>
                <w:szCs w:val="18"/>
              </w:rPr>
            </w:pPr>
            <w:r w:rsidRPr="00710D9F">
              <w:rPr>
                <w:b/>
                <w:bCs/>
                <w:sz w:val="18"/>
                <w:szCs w:val="18"/>
              </w:rPr>
              <w:t xml:space="preserve">54.0 </w:t>
            </w:r>
          </w:p>
        </w:tc>
        <w:tc>
          <w:tcPr>
            <w:tcW w:w="997" w:type="dxa"/>
            <w:tcBorders>
              <w:top w:val="single" w:sz="4" w:space="0" w:color="404040"/>
              <w:left w:val="single" w:sz="4" w:space="0" w:color="404040"/>
              <w:right w:val="single" w:sz="4" w:space="0" w:color="404040"/>
            </w:tcBorders>
            <w:vAlign w:val="center"/>
          </w:tcPr>
          <w:p w14:paraId="4CA68A01" w14:textId="77777777" w:rsidR="005B1901" w:rsidRPr="00710D9F" w:rsidRDefault="005B1901" w:rsidP="00921843">
            <w:pPr>
              <w:tabs>
                <w:tab w:val="decimal" w:pos="330"/>
              </w:tabs>
              <w:jc w:val="left"/>
              <w:rPr>
                <w:b/>
                <w:bCs/>
                <w:sz w:val="18"/>
                <w:szCs w:val="18"/>
              </w:rPr>
            </w:pPr>
            <w:r w:rsidRPr="00710D9F">
              <w:rPr>
                <w:b/>
                <w:bCs/>
                <w:color w:val="000000"/>
                <w:sz w:val="18"/>
                <w:szCs w:val="18"/>
              </w:rPr>
              <w:t xml:space="preserve"> 3.19</w:t>
            </w:r>
          </w:p>
        </w:tc>
        <w:tc>
          <w:tcPr>
            <w:tcW w:w="470" w:type="dxa"/>
            <w:tcBorders>
              <w:top w:val="single" w:sz="4" w:space="0" w:color="404040"/>
              <w:left w:val="single" w:sz="4" w:space="0" w:color="404040"/>
            </w:tcBorders>
            <w:vAlign w:val="center"/>
          </w:tcPr>
          <w:p w14:paraId="2C092161" w14:textId="77777777" w:rsidR="005B1901" w:rsidRPr="00710D9F" w:rsidRDefault="005B1901" w:rsidP="00921843">
            <w:pPr>
              <w:ind w:right="57"/>
              <w:jc w:val="right"/>
              <w:rPr>
                <w:b/>
                <w:bCs/>
                <w:sz w:val="18"/>
                <w:szCs w:val="18"/>
              </w:rPr>
            </w:pPr>
            <w:r w:rsidRPr="00710D9F">
              <w:rPr>
                <w:b/>
                <w:bCs/>
                <w:sz w:val="18"/>
                <w:szCs w:val="18"/>
              </w:rPr>
              <w:t>2</w:t>
            </w:r>
          </w:p>
        </w:tc>
        <w:tc>
          <w:tcPr>
            <w:tcW w:w="1239" w:type="dxa"/>
            <w:tcBorders>
              <w:top w:val="single" w:sz="4" w:space="0" w:color="404040"/>
              <w:right w:val="single" w:sz="4" w:space="0" w:color="404040"/>
            </w:tcBorders>
            <w:vAlign w:val="center"/>
          </w:tcPr>
          <w:p w14:paraId="755257FB" w14:textId="77777777" w:rsidR="005B1901" w:rsidRPr="00710D9F" w:rsidRDefault="005B1901" w:rsidP="00921843">
            <w:pPr>
              <w:ind w:left="-29" w:right="-55"/>
              <w:jc w:val="left"/>
              <w:rPr>
                <w:b/>
                <w:bCs/>
                <w:sz w:val="18"/>
                <w:szCs w:val="18"/>
              </w:rPr>
            </w:pPr>
            <w:r w:rsidRPr="00710D9F">
              <w:rPr>
                <w:b/>
                <w:bCs/>
                <w:sz w:val="18"/>
                <w:szCs w:val="18"/>
              </w:rPr>
              <w:t>por arriba</w:t>
            </w:r>
          </w:p>
        </w:tc>
      </w:tr>
      <w:tr w:rsidR="005B1901" w:rsidRPr="00B61114" w14:paraId="023CE20E" w14:textId="77777777" w:rsidTr="00921843">
        <w:trPr>
          <w:cantSplit/>
          <w:trHeight w:val="20"/>
          <w:jc w:val="center"/>
        </w:trPr>
        <w:tc>
          <w:tcPr>
            <w:tcW w:w="5264" w:type="dxa"/>
            <w:tcBorders>
              <w:left w:val="single" w:sz="4" w:space="0" w:color="404040"/>
              <w:right w:val="single" w:sz="4" w:space="0" w:color="404040"/>
            </w:tcBorders>
            <w:vAlign w:val="center"/>
          </w:tcPr>
          <w:p w14:paraId="51A81489" w14:textId="77777777" w:rsidR="005B1901" w:rsidRPr="00B61114" w:rsidRDefault="005B1901" w:rsidP="00921843">
            <w:pPr>
              <w:numPr>
                <w:ilvl w:val="0"/>
                <w:numId w:val="29"/>
              </w:numPr>
              <w:spacing w:before="20" w:after="20"/>
              <w:ind w:left="325" w:hanging="309"/>
              <w:jc w:val="left"/>
              <w:rPr>
                <w:sz w:val="18"/>
                <w:szCs w:val="18"/>
              </w:rPr>
            </w:pPr>
            <w:r w:rsidRPr="00B61114">
              <w:rPr>
                <w:sz w:val="18"/>
                <w:szCs w:val="18"/>
              </w:rPr>
              <w:t>Pedidos</w:t>
            </w:r>
          </w:p>
        </w:tc>
        <w:tc>
          <w:tcPr>
            <w:tcW w:w="997" w:type="dxa"/>
            <w:tcBorders>
              <w:left w:val="single" w:sz="4" w:space="0" w:color="404040"/>
              <w:right w:val="single" w:sz="4" w:space="0" w:color="404040"/>
            </w:tcBorders>
            <w:vAlign w:val="center"/>
          </w:tcPr>
          <w:p w14:paraId="3828A5E9" w14:textId="77777777" w:rsidR="005B1901" w:rsidRPr="00710D9F" w:rsidRDefault="005B1901" w:rsidP="00921843">
            <w:pPr>
              <w:tabs>
                <w:tab w:val="decimal" w:pos="435"/>
              </w:tabs>
              <w:jc w:val="left"/>
              <w:rPr>
                <w:sz w:val="18"/>
                <w:szCs w:val="18"/>
              </w:rPr>
            </w:pPr>
            <w:r w:rsidRPr="00710D9F">
              <w:rPr>
                <w:sz w:val="18"/>
                <w:szCs w:val="18"/>
              </w:rPr>
              <w:t xml:space="preserve">52.0 </w:t>
            </w:r>
          </w:p>
        </w:tc>
        <w:tc>
          <w:tcPr>
            <w:tcW w:w="997" w:type="dxa"/>
            <w:tcBorders>
              <w:left w:val="single" w:sz="4" w:space="0" w:color="404040"/>
              <w:right w:val="single" w:sz="4" w:space="0" w:color="404040"/>
            </w:tcBorders>
            <w:vAlign w:val="center"/>
          </w:tcPr>
          <w:p w14:paraId="0A71A2D4" w14:textId="77777777" w:rsidR="005B1901" w:rsidRPr="00710D9F" w:rsidRDefault="005B1901" w:rsidP="00921843">
            <w:pPr>
              <w:tabs>
                <w:tab w:val="decimal" w:pos="435"/>
              </w:tabs>
              <w:jc w:val="left"/>
              <w:rPr>
                <w:sz w:val="18"/>
                <w:szCs w:val="18"/>
              </w:rPr>
            </w:pPr>
            <w:r w:rsidRPr="00710D9F">
              <w:rPr>
                <w:sz w:val="18"/>
                <w:szCs w:val="18"/>
              </w:rPr>
              <w:t xml:space="preserve">56.2 </w:t>
            </w:r>
          </w:p>
        </w:tc>
        <w:tc>
          <w:tcPr>
            <w:tcW w:w="997" w:type="dxa"/>
            <w:tcBorders>
              <w:left w:val="single" w:sz="4" w:space="0" w:color="404040"/>
              <w:right w:val="single" w:sz="4" w:space="0" w:color="404040"/>
            </w:tcBorders>
            <w:vAlign w:val="center"/>
          </w:tcPr>
          <w:p w14:paraId="448067EC" w14:textId="77777777" w:rsidR="005B1901" w:rsidRPr="00710D9F" w:rsidRDefault="005B1901" w:rsidP="00921843">
            <w:pPr>
              <w:tabs>
                <w:tab w:val="decimal" w:pos="330"/>
              </w:tabs>
              <w:jc w:val="left"/>
              <w:rPr>
                <w:sz w:val="18"/>
                <w:szCs w:val="18"/>
              </w:rPr>
            </w:pPr>
            <w:r w:rsidRPr="00710D9F">
              <w:rPr>
                <w:color w:val="000000"/>
                <w:sz w:val="18"/>
                <w:szCs w:val="18"/>
              </w:rPr>
              <w:t xml:space="preserve"> 4.26</w:t>
            </w:r>
          </w:p>
        </w:tc>
        <w:tc>
          <w:tcPr>
            <w:tcW w:w="470" w:type="dxa"/>
            <w:tcBorders>
              <w:left w:val="single" w:sz="4" w:space="0" w:color="404040"/>
            </w:tcBorders>
            <w:vAlign w:val="center"/>
          </w:tcPr>
          <w:p w14:paraId="0D1F9876" w14:textId="77777777" w:rsidR="005B1901" w:rsidRPr="00710D9F" w:rsidRDefault="005B1901" w:rsidP="00921843">
            <w:pPr>
              <w:ind w:right="57"/>
              <w:jc w:val="right"/>
              <w:rPr>
                <w:sz w:val="18"/>
                <w:szCs w:val="18"/>
              </w:rPr>
            </w:pPr>
            <w:r w:rsidRPr="00710D9F">
              <w:rPr>
                <w:sz w:val="18"/>
                <w:szCs w:val="18"/>
              </w:rPr>
              <w:t>2</w:t>
            </w:r>
          </w:p>
        </w:tc>
        <w:tc>
          <w:tcPr>
            <w:tcW w:w="1239" w:type="dxa"/>
            <w:tcBorders>
              <w:right w:val="single" w:sz="4" w:space="0" w:color="404040"/>
            </w:tcBorders>
            <w:vAlign w:val="center"/>
          </w:tcPr>
          <w:p w14:paraId="1028A489" w14:textId="77777777" w:rsidR="005B1901" w:rsidRPr="00710D9F" w:rsidRDefault="005B1901" w:rsidP="00921843">
            <w:pPr>
              <w:ind w:left="-29" w:right="-55"/>
              <w:jc w:val="left"/>
              <w:rPr>
                <w:bCs/>
                <w:sz w:val="18"/>
                <w:szCs w:val="18"/>
              </w:rPr>
            </w:pPr>
            <w:r w:rsidRPr="00710D9F">
              <w:rPr>
                <w:sz w:val="18"/>
                <w:szCs w:val="18"/>
              </w:rPr>
              <w:t>por arriba</w:t>
            </w:r>
          </w:p>
        </w:tc>
      </w:tr>
      <w:tr w:rsidR="005B1901" w:rsidRPr="00B61114" w14:paraId="188F9821" w14:textId="77777777" w:rsidTr="00921843">
        <w:trPr>
          <w:cantSplit/>
          <w:trHeight w:val="20"/>
          <w:jc w:val="center"/>
        </w:trPr>
        <w:tc>
          <w:tcPr>
            <w:tcW w:w="5264" w:type="dxa"/>
            <w:tcBorders>
              <w:left w:val="single" w:sz="4" w:space="0" w:color="404040"/>
              <w:right w:val="single" w:sz="4" w:space="0" w:color="404040"/>
            </w:tcBorders>
            <w:vAlign w:val="center"/>
          </w:tcPr>
          <w:p w14:paraId="74B8F518" w14:textId="77777777" w:rsidR="005B1901" w:rsidRPr="00B61114" w:rsidRDefault="005B1901" w:rsidP="00921843">
            <w:pPr>
              <w:numPr>
                <w:ilvl w:val="0"/>
                <w:numId w:val="29"/>
              </w:numPr>
              <w:spacing w:before="20" w:after="20"/>
              <w:ind w:left="325" w:hanging="309"/>
              <w:jc w:val="left"/>
              <w:rPr>
                <w:sz w:val="18"/>
                <w:szCs w:val="18"/>
              </w:rPr>
            </w:pPr>
            <w:r w:rsidRPr="00B61114">
              <w:rPr>
                <w:sz w:val="18"/>
                <w:szCs w:val="18"/>
              </w:rPr>
              <w:t>Producción</w:t>
            </w:r>
          </w:p>
        </w:tc>
        <w:tc>
          <w:tcPr>
            <w:tcW w:w="997" w:type="dxa"/>
            <w:tcBorders>
              <w:left w:val="single" w:sz="4" w:space="0" w:color="404040"/>
              <w:right w:val="single" w:sz="4" w:space="0" w:color="404040"/>
            </w:tcBorders>
            <w:vAlign w:val="center"/>
          </w:tcPr>
          <w:p w14:paraId="769F9AE5" w14:textId="77777777" w:rsidR="005B1901" w:rsidRPr="00710D9F" w:rsidRDefault="005B1901" w:rsidP="00921843">
            <w:pPr>
              <w:tabs>
                <w:tab w:val="decimal" w:pos="435"/>
              </w:tabs>
              <w:jc w:val="left"/>
              <w:rPr>
                <w:sz w:val="18"/>
                <w:szCs w:val="18"/>
              </w:rPr>
            </w:pPr>
            <w:r w:rsidRPr="00710D9F">
              <w:rPr>
                <w:sz w:val="18"/>
                <w:szCs w:val="18"/>
              </w:rPr>
              <w:t xml:space="preserve">51.8 </w:t>
            </w:r>
          </w:p>
        </w:tc>
        <w:tc>
          <w:tcPr>
            <w:tcW w:w="997" w:type="dxa"/>
            <w:tcBorders>
              <w:left w:val="single" w:sz="4" w:space="0" w:color="404040"/>
              <w:right w:val="single" w:sz="4" w:space="0" w:color="404040"/>
            </w:tcBorders>
            <w:vAlign w:val="center"/>
          </w:tcPr>
          <w:p w14:paraId="640639CD" w14:textId="77777777" w:rsidR="005B1901" w:rsidRPr="00710D9F" w:rsidRDefault="005B1901" w:rsidP="00921843">
            <w:pPr>
              <w:tabs>
                <w:tab w:val="decimal" w:pos="435"/>
              </w:tabs>
              <w:jc w:val="left"/>
              <w:rPr>
                <w:sz w:val="18"/>
                <w:szCs w:val="18"/>
              </w:rPr>
            </w:pPr>
            <w:r w:rsidRPr="00710D9F">
              <w:rPr>
                <w:sz w:val="18"/>
                <w:szCs w:val="18"/>
              </w:rPr>
              <w:t xml:space="preserve">57.9 </w:t>
            </w:r>
          </w:p>
        </w:tc>
        <w:tc>
          <w:tcPr>
            <w:tcW w:w="997" w:type="dxa"/>
            <w:tcBorders>
              <w:left w:val="single" w:sz="4" w:space="0" w:color="404040"/>
              <w:right w:val="single" w:sz="4" w:space="0" w:color="404040"/>
            </w:tcBorders>
            <w:vAlign w:val="center"/>
          </w:tcPr>
          <w:p w14:paraId="5DE45BFE" w14:textId="77777777" w:rsidR="005B1901" w:rsidRPr="00710D9F" w:rsidRDefault="005B1901" w:rsidP="00921843">
            <w:pPr>
              <w:tabs>
                <w:tab w:val="decimal" w:pos="330"/>
              </w:tabs>
              <w:jc w:val="left"/>
              <w:rPr>
                <w:sz w:val="18"/>
                <w:szCs w:val="18"/>
              </w:rPr>
            </w:pPr>
            <w:r w:rsidRPr="00710D9F">
              <w:rPr>
                <w:color w:val="000000"/>
                <w:sz w:val="18"/>
                <w:szCs w:val="18"/>
              </w:rPr>
              <w:t xml:space="preserve"> 6.06</w:t>
            </w:r>
          </w:p>
        </w:tc>
        <w:tc>
          <w:tcPr>
            <w:tcW w:w="470" w:type="dxa"/>
            <w:tcBorders>
              <w:left w:val="single" w:sz="4" w:space="0" w:color="404040"/>
            </w:tcBorders>
            <w:vAlign w:val="center"/>
          </w:tcPr>
          <w:p w14:paraId="1CA9F60B" w14:textId="77777777" w:rsidR="005B1901" w:rsidRPr="00710D9F" w:rsidRDefault="005B1901" w:rsidP="00921843">
            <w:pPr>
              <w:ind w:right="57"/>
              <w:jc w:val="right"/>
              <w:rPr>
                <w:sz w:val="18"/>
                <w:szCs w:val="18"/>
              </w:rPr>
            </w:pPr>
            <w:r w:rsidRPr="00710D9F">
              <w:rPr>
                <w:sz w:val="18"/>
                <w:szCs w:val="18"/>
              </w:rPr>
              <w:t>3</w:t>
            </w:r>
          </w:p>
        </w:tc>
        <w:tc>
          <w:tcPr>
            <w:tcW w:w="1239" w:type="dxa"/>
            <w:tcBorders>
              <w:right w:val="single" w:sz="4" w:space="0" w:color="404040"/>
            </w:tcBorders>
            <w:vAlign w:val="center"/>
          </w:tcPr>
          <w:p w14:paraId="3F50C482" w14:textId="77777777" w:rsidR="005B1901" w:rsidRPr="00710D9F" w:rsidRDefault="005B1901" w:rsidP="00921843">
            <w:pPr>
              <w:ind w:left="-29" w:right="-55"/>
              <w:jc w:val="left"/>
              <w:rPr>
                <w:bCs/>
                <w:sz w:val="18"/>
                <w:szCs w:val="18"/>
              </w:rPr>
            </w:pPr>
            <w:r w:rsidRPr="00710D9F">
              <w:rPr>
                <w:sz w:val="18"/>
                <w:szCs w:val="18"/>
              </w:rPr>
              <w:t>por arriba</w:t>
            </w:r>
          </w:p>
        </w:tc>
      </w:tr>
      <w:tr w:rsidR="005B1901" w:rsidRPr="00B61114" w14:paraId="59D17058" w14:textId="77777777" w:rsidTr="00921843">
        <w:trPr>
          <w:cantSplit/>
          <w:trHeight w:val="20"/>
          <w:jc w:val="center"/>
        </w:trPr>
        <w:tc>
          <w:tcPr>
            <w:tcW w:w="5264" w:type="dxa"/>
            <w:tcBorders>
              <w:left w:val="single" w:sz="4" w:space="0" w:color="404040"/>
              <w:right w:val="single" w:sz="4" w:space="0" w:color="404040"/>
            </w:tcBorders>
            <w:vAlign w:val="center"/>
          </w:tcPr>
          <w:p w14:paraId="57CBE8DA" w14:textId="77777777" w:rsidR="005B1901" w:rsidRPr="00B61114" w:rsidRDefault="005B1901" w:rsidP="00921843">
            <w:pPr>
              <w:widowControl w:val="0"/>
              <w:numPr>
                <w:ilvl w:val="0"/>
                <w:numId w:val="29"/>
              </w:numPr>
              <w:spacing w:before="20" w:after="20"/>
              <w:ind w:left="323" w:hanging="306"/>
              <w:jc w:val="left"/>
              <w:rPr>
                <w:sz w:val="18"/>
                <w:szCs w:val="18"/>
              </w:rPr>
            </w:pPr>
            <w:r w:rsidRPr="00B61114">
              <w:rPr>
                <w:sz w:val="18"/>
                <w:szCs w:val="18"/>
              </w:rPr>
              <w:t>Personal ocupado</w:t>
            </w:r>
          </w:p>
        </w:tc>
        <w:tc>
          <w:tcPr>
            <w:tcW w:w="997" w:type="dxa"/>
            <w:tcBorders>
              <w:left w:val="single" w:sz="4" w:space="0" w:color="404040"/>
              <w:right w:val="single" w:sz="4" w:space="0" w:color="404040"/>
            </w:tcBorders>
            <w:vAlign w:val="center"/>
          </w:tcPr>
          <w:p w14:paraId="44B0DC3F" w14:textId="77777777" w:rsidR="005B1901" w:rsidRPr="00710D9F" w:rsidRDefault="005B1901" w:rsidP="00921843">
            <w:pPr>
              <w:tabs>
                <w:tab w:val="decimal" w:pos="435"/>
              </w:tabs>
              <w:jc w:val="left"/>
              <w:rPr>
                <w:sz w:val="18"/>
                <w:szCs w:val="18"/>
              </w:rPr>
            </w:pPr>
            <w:r w:rsidRPr="00710D9F">
              <w:rPr>
                <w:sz w:val="18"/>
                <w:szCs w:val="18"/>
              </w:rPr>
              <w:t xml:space="preserve">49.8 </w:t>
            </w:r>
          </w:p>
        </w:tc>
        <w:tc>
          <w:tcPr>
            <w:tcW w:w="997" w:type="dxa"/>
            <w:tcBorders>
              <w:left w:val="single" w:sz="4" w:space="0" w:color="404040"/>
              <w:right w:val="single" w:sz="4" w:space="0" w:color="404040"/>
            </w:tcBorders>
            <w:vAlign w:val="center"/>
          </w:tcPr>
          <w:p w14:paraId="4FFE29B0" w14:textId="77777777" w:rsidR="005B1901" w:rsidRPr="00710D9F" w:rsidRDefault="005B1901" w:rsidP="00921843">
            <w:pPr>
              <w:tabs>
                <w:tab w:val="decimal" w:pos="435"/>
              </w:tabs>
              <w:jc w:val="left"/>
              <w:rPr>
                <w:sz w:val="18"/>
                <w:szCs w:val="18"/>
              </w:rPr>
            </w:pPr>
            <w:r w:rsidRPr="00710D9F">
              <w:rPr>
                <w:sz w:val="18"/>
                <w:szCs w:val="18"/>
              </w:rPr>
              <w:t xml:space="preserve">50.8 </w:t>
            </w:r>
          </w:p>
        </w:tc>
        <w:tc>
          <w:tcPr>
            <w:tcW w:w="997" w:type="dxa"/>
            <w:tcBorders>
              <w:left w:val="single" w:sz="4" w:space="0" w:color="404040"/>
              <w:right w:val="single" w:sz="4" w:space="0" w:color="404040"/>
            </w:tcBorders>
            <w:vAlign w:val="center"/>
          </w:tcPr>
          <w:p w14:paraId="649225BE" w14:textId="77777777" w:rsidR="005B1901" w:rsidRPr="00710D9F" w:rsidRDefault="005B1901" w:rsidP="00921843">
            <w:pPr>
              <w:tabs>
                <w:tab w:val="decimal" w:pos="330"/>
              </w:tabs>
              <w:jc w:val="left"/>
              <w:rPr>
                <w:sz w:val="18"/>
                <w:szCs w:val="18"/>
              </w:rPr>
            </w:pPr>
            <w:r w:rsidRPr="00710D9F">
              <w:rPr>
                <w:color w:val="000000"/>
                <w:sz w:val="18"/>
                <w:szCs w:val="18"/>
              </w:rPr>
              <w:t xml:space="preserve"> 0.97</w:t>
            </w:r>
          </w:p>
        </w:tc>
        <w:tc>
          <w:tcPr>
            <w:tcW w:w="470" w:type="dxa"/>
            <w:tcBorders>
              <w:left w:val="single" w:sz="4" w:space="0" w:color="404040"/>
            </w:tcBorders>
            <w:vAlign w:val="center"/>
          </w:tcPr>
          <w:p w14:paraId="55BEDDF0" w14:textId="77777777" w:rsidR="005B1901" w:rsidRPr="00710D9F" w:rsidRDefault="005B1901" w:rsidP="00921843">
            <w:pPr>
              <w:ind w:right="57"/>
              <w:jc w:val="right"/>
              <w:rPr>
                <w:sz w:val="18"/>
                <w:szCs w:val="18"/>
              </w:rPr>
            </w:pPr>
            <w:r w:rsidRPr="00710D9F">
              <w:rPr>
                <w:sz w:val="18"/>
                <w:szCs w:val="18"/>
              </w:rPr>
              <w:t>1</w:t>
            </w:r>
          </w:p>
        </w:tc>
        <w:tc>
          <w:tcPr>
            <w:tcW w:w="1239" w:type="dxa"/>
            <w:tcBorders>
              <w:right w:val="single" w:sz="4" w:space="0" w:color="404040"/>
            </w:tcBorders>
            <w:vAlign w:val="center"/>
          </w:tcPr>
          <w:p w14:paraId="165519F4" w14:textId="77777777" w:rsidR="005B1901" w:rsidRPr="00710D9F" w:rsidRDefault="005B1901" w:rsidP="00921843">
            <w:pPr>
              <w:ind w:left="-29" w:right="-55"/>
              <w:jc w:val="left"/>
              <w:rPr>
                <w:bCs/>
                <w:sz w:val="18"/>
                <w:szCs w:val="18"/>
              </w:rPr>
            </w:pPr>
            <w:r w:rsidRPr="00710D9F">
              <w:rPr>
                <w:sz w:val="18"/>
                <w:szCs w:val="18"/>
              </w:rPr>
              <w:t>por arriba</w:t>
            </w:r>
          </w:p>
        </w:tc>
      </w:tr>
      <w:tr w:rsidR="005B1901" w:rsidRPr="00B61114" w14:paraId="02DE8EEC" w14:textId="77777777" w:rsidTr="00921843">
        <w:trPr>
          <w:cantSplit/>
          <w:trHeight w:val="20"/>
          <w:jc w:val="center"/>
        </w:trPr>
        <w:tc>
          <w:tcPr>
            <w:tcW w:w="5264" w:type="dxa"/>
            <w:tcBorders>
              <w:left w:val="single" w:sz="4" w:space="0" w:color="404040"/>
              <w:right w:val="single" w:sz="4" w:space="0" w:color="404040"/>
            </w:tcBorders>
            <w:vAlign w:val="center"/>
          </w:tcPr>
          <w:p w14:paraId="52CFBD7A" w14:textId="77777777" w:rsidR="005B1901" w:rsidRPr="00B61114" w:rsidRDefault="005B1901" w:rsidP="00921843">
            <w:pPr>
              <w:widowControl w:val="0"/>
              <w:numPr>
                <w:ilvl w:val="0"/>
                <w:numId w:val="29"/>
              </w:numPr>
              <w:spacing w:before="20" w:after="20"/>
              <w:ind w:left="323" w:right="-85" w:hanging="306"/>
              <w:jc w:val="left"/>
              <w:rPr>
                <w:sz w:val="18"/>
                <w:szCs w:val="18"/>
              </w:rPr>
            </w:pPr>
            <w:r w:rsidRPr="00B61114">
              <w:rPr>
                <w:sz w:val="18"/>
                <w:szCs w:val="18"/>
              </w:rPr>
              <w:t xml:space="preserve">Oportunidad en la entrega de insumos de </w:t>
            </w:r>
            <w:r>
              <w:rPr>
                <w:sz w:val="18"/>
                <w:szCs w:val="18"/>
              </w:rPr>
              <w:t xml:space="preserve">los </w:t>
            </w:r>
            <w:r w:rsidRPr="00B61114">
              <w:rPr>
                <w:sz w:val="18"/>
                <w:szCs w:val="18"/>
              </w:rPr>
              <w:t>proveedores</w:t>
            </w:r>
          </w:p>
        </w:tc>
        <w:tc>
          <w:tcPr>
            <w:tcW w:w="997" w:type="dxa"/>
            <w:tcBorders>
              <w:left w:val="single" w:sz="4" w:space="0" w:color="404040"/>
              <w:right w:val="single" w:sz="4" w:space="0" w:color="404040"/>
            </w:tcBorders>
            <w:vAlign w:val="center"/>
          </w:tcPr>
          <w:p w14:paraId="06A4E58A" w14:textId="77777777" w:rsidR="005B1901" w:rsidRPr="00710D9F" w:rsidRDefault="005B1901" w:rsidP="00921843">
            <w:pPr>
              <w:tabs>
                <w:tab w:val="decimal" w:pos="435"/>
              </w:tabs>
              <w:jc w:val="left"/>
              <w:rPr>
                <w:sz w:val="18"/>
                <w:szCs w:val="18"/>
              </w:rPr>
            </w:pPr>
            <w:r w:rsidRPr="00710D9F">
              <w:rPr>
                <w:sz w:val="18"/>
                <w:szCs w:val="18"/>
              </w:rPr>
              <w:t xml:space="preserve">48.7 </w:t>
            </w:r>
          </w:p>
        </w:tc>
        <w:tc>
          <w:tcPr>
            <w:tcW w:w="997" w:type="dxa"/>
            <w:tcBorders>
              <w:left w:val="single" w:sz="4" w:space="0" w:color="404040"/>
              <w:right w:val="single" w:sz="4" w:space="0" w:color="404040"/>
            </w:tcBorders>
            <w:vAlign w:val="center"/>
          </w:tcPr>
          <w:p w14:paraId="7F06880A" w14:textId="77777777" w:rsidR="005B1901" w:rsidRPr="00710D9F" w:rsidRDefault="005B1901" w:rsidP="00921843">
            <w:pPr>
              <w:tabs>
                <w:tab w:val="decimal" w:pos="435"/>
              </w:tabs>
              <w:jc w:val="left"/>
              <w:rPr>
                <w:sz w:val="18"/>
                <w:szCs w:val="18"/>
              </w:rPr>
            </w:pPr>
            <w:r w:rsidRPr="00710D9F">
              <w:rPr>
                <w:sz w:val="18"/>
                <w:szCs w:val="18"/>
              </w:rPr>
              <w:t xml:space="preserve">49.1 </w:t>
            </w:r>
          </w:p>
        </w:tc>
        <w:tc>
          <w:tcPr>
            <w:tcW w:w="997" w:type="dxa"/>
            <w:tcBorders>
              <w:left w:val="single" w:sz="4" w:space="0" w:color="404040"/>
              <w:right w:val="single" w:sz="4" w:space="0" w:color="404040"/>
            </w:tcBorders>
            <w:vAlign w:val="center"/>
          </w:tcPr>
          <w:p w14:paraId="389DEE94" w14:textId="77777777" w:rsidR="005B1901" w:rsidRPr="00710D9F" w:rsidRDefault="005B1901" w:rsidP="00921843">
            <w:pPr>
              <w:tabs>
                <w:tab w:val="decimal" w:pos="330"/>
              </w:tabs>
              <w:jc w:val="left"/>
              <w:rPr>
                <w:sz w:val="18"/>
                <w:szCs w:val="18"/>
              </w:rPr>
            </w:pPr>
            <w:r w:rsidRPr="00710D9F">
              <w:rPr>
                <w:color w:val="000000"/>
                <w:sz w:val="18"/>
                <w:szCs w:val="18"/>
              </w:rPr>
              <w:t xml:space="preserve"> 0.34</w:t>
            </w:r>
          </w:p>
        </w:tc>
        <w:tc>
          <w:tcPr>
            <w:tcW w:w="470" w:type="dxa"/>
            <w:tcBorders>
              <w:left w:val="single" w:sz="4" w:space="0" w:color="404040"/>
            </w:tcBorders>
            <w:vAlign w:val="center"/>
          </w:tcPr>
          <w:p w14:paraId="1DD682DA" w14:textId="77777777" w:rsidR="005B1901" w:rsidRPr="00710D9F" w:rsidRDefault="005B1901" w:rsidP="00921843">
            <w:pPr>
              <w:ind w:right="57"/>
              <w:jc w:val="right"/>
              <w:rPr>
                <w:sz w:val="18"/>
                <w:szCs w:val="18"/>
              </w:rPr>
            </w:pPr>
            <w:r w:rsidRPr="00710D9F">
              <w:rPr>
                <w:sz w:val="18"/>
                <w:szCs w:val="18"/>
              </w:rPr>
              <w:t>16</w:t>
            </w:r>
          </w:p>
        </w:tc>
        <w:tc>
          <w:tcPr>
            <w:tcW w:w="1239" w:type="dxa"/>
            <w:tcBorders>
              <w:right w:val="single" w:sz="4" w:space="0" w:color="404040"/>
            </w:tcBorders>
            <w:vAlign w:val="center"/>
          </w:tcPr>
          <w:p w14:paraId="4966ABED" w14:textId="77777777" w:rsidR="005B1901" w:rsidRPr="00710D9F" w:rsidRDefault="005B1901" w:rsidP="00921843">
            <w:pPr>
              <w:ind w:left="-29" w:right="-55"/>
              <w:jc w:val="left"/>
              <w:rPr>
                <w:bCs/>
                <w:sz w:val="18"/>
                <w:szCs w:val="18"/>
              </w:rPr>
            </w:pPr>
            <w:r w:rsidRPr="00710D9F">
              <w:rPr>
                <w:sz w:val="18"/>
                <w:szCs w:val="18"/>
              </w:rPr>
              <w:t>por debajo</w:t>
            </w:r>
          </w:p>
        </w:tc>
      </w:tr>
      <w:tr w:rsidR="005B1901" w:rsidRPr="00B61114" w14:paraId="7852E0EB" w14:textId="77777777" w:rsidTr="00921843">
        <w:trPr>
          <w:cantSplit/>
          <w:trHeight w:val="20"/>
          <w:jc w:val="center"/>
        </w:trPr>
        <w:tc>
          <w:tcPr>
            <w:tcW w:w="5264" w:type="dxa"/>
            <w:tcBorders>
              <w:left w:val="single" w:sz="4" w:space="0" w:color="404040"/>
              <w:bottom w:val="single" w:sz="4" w:space="0" w:color="404040"/>
              <w:right w:val="single" w:sz="4" w:space="0" w:color="404040"/>
            </w:tcBorders>
            <w:vAlign w:val="center"/>
          </w:tcPr>
          <w:p w14:paraId="2F1DB5D3" w14:textId="77777777" w:rsidR="005B1901" w:rsidRPr="00B61114" w:rsidRDefault="005B1901" w:rsidP="00921843">
            <w:pPr>
              <w:widowControl w:val="0"/>
              <w:numPr>
                <w:ilvl w:val="0"/>
                <w:numId w:val="29"/>
              </w:numPr>
              <w:spacing w:before="20" w:after="20"/>
              <w:ind w:left="323" w:hanging="306"/>
              <w:jc w:val="left"/>
              <w:rPr>
                <w:sz w:val="18"/>
                <w:szCs w:val="18"/>
              </w:rPr>
            </w:pPr>
            <w:r w:rsidRPr="00B61114">
              <w:rPr>
                <w:sz w:val="18"/>
                <w:szCs w:val="18"/>
              </w:rPr>
              <w:t>Inventarios de insumos</w:t>
            </w:r>
          </w:p>
        </w:tc>
        <w:tc>
          <w:tcPr>
            <w:tcW w:w="997" w:type="dxa"/>
            <w:tcBorders>
              <w:left w:val="single" w:sz="4" w:space="0" w:color="404040"/>
              <w:bottom w:val="single" w:sz="4" w:space="0" w:color="404040"/>
              <w:right w:val="single" w:sz="4" w:space="0" w:color="404040"/>
            </w:tcBorders>
            <w:vAlign w:val="center"/>
          </w:tcPr>
          <w:p w14:paraId="21D51B13" w14:textId="77777777" w:rsidR="005B1901" w:rsidRPr="00710D9F" w:rsidRDefault="005B1901" w:rsidP="00921843">
            <w:pPr>
              <w:tabs>
                <w:tab w:val="decimal" w:pos="435"/>
              </w:tabs>
              <w:jc w:val="left"/>
              <w:rPr>
                <w:sz w:val="18"/>
                <w:szCs w:val="18"/>
              </w:rPr>
            </w:pPr>
            <w:r w:rsidRPr="00710D9F">
              <w:rPr>
                <w:sz w:val="18"/>
                <w:szCs w:val="18"/>
              </w:rPr>
              <w:t xml:space="preserve">48.7 </w:t>
            </w:r>
          </w:p>
        </w:tc>
        <w:tc>
          <w:tcPr>
            <w:tcW w:w="997" w:type="dxa"/>
            <w:tcBorders>
              <w:left w:val="single" w:sz="4" w:space="0" w:color="404040"/>
              <w:bottom w:val="single" w:sz="4" w:space="0" w:color="404040"/>
              <w:right w:val="single" w:sz="4" w:space="0" w:color="404040"/>
            </w:tcBorders>
            <w:vAlign w:val="center"/>
          </w:tcPr>
          <w:p w14:paraId="077C73F5" w14:textId="77777777" w:rsidR="005B1901" w:rsidRPr="00710D9F" w:rsidRDefault="005B1901" w:rsidP="00921843">
            <w:pPr>
              <w:tabs>
                <w:tab w:val="decimal" w:pos="435"/>
              </w:tabs>
              <w:jc w:val="left"/>
              <w:rPr>
                <w:sz w:val="18"/>
                <w:szCs w:val="18"/>
              </w:rPr>
            </w:pPr>
            <w:r w:rsidRPr="00710D9F">
              <w:rPr>
                <w:sz w:val="18"/>
                <w:szCs w:val="18"/>
              </w:rPr>
              <w:t xml:space="preserve">50.1 </w:t>
            </w:r>
          </w:p>
        </w:tc>
        <w:tc>
          <w:tcPr>
            <w:tcW w:w="997" w:type="dxa"/>
            <w:tcBorders>
              <w:left w:val="single" w:sz="4" w:space="0" w:color="404040"/>
              <w:bottom w:val="single" w:sz="4" w:space="0" w:color="404040"/>
              <w:right w:val="single" w:sz="4" w:space="0" w:color="404040"/>
            </w:tcBorders>
            <w:vAlign w:val="center"/>
          </w:tcPr>
          <w:p w14:paraId="4C793F7E" w14:textId="77777777" w:rsidR="005B1901" w:rsidRPr="00710D9F" w:rsidRDefault="005B1901" w:rsidP="00921843">
            <w:pPr>
              <w:tabs>
                <w:tab w:val="decimal" w:pos="330"/>
              </w:tabs>
              <w:jc w:val="left"/>
              <w:rPr>
                <w:sz w:val="18"/>
                <w:szCs w:val="18"/>
              </w:rPr>
            </w:pPr>
            <w:r w:rsidRPr="00710D9F">
              <w:rPr>
                <w:color w:val="000000"/>
                <w:sz w:val="18"/>
                <w:szCs w:val="18"/>
              </w:rPr>
              <w:t xml:space="preserve"> 1.37</w:t>
            </w:r>
          </w:p>
        </w:tc>
        <w:tc>
          <w:tcPr>
            <w:tcW w:w="470" w:type="dxa"/>
            <w:tcBorders>
              <w:left w:val="single" w:sz="4" w:space="0" w:color="404040"/>
              <w:bottom w:val="single" w:sz="4" w:space="0" w:color="404040"/>
            </w:tcBorders>
            <w:vAlign w:val="center"/>
          </w:tcPr>
          <w:p w14:paraId="6285952B" w14:textId="77777777" w:rsidR="005B1901" w:rsidRPr="00710D9F" w:rsidRDefault="005B1901" w:rsidP="00921843">
            <w:pPr>
              <w:ind w:right="57"/>
              <w:jc w:val="right"/>
              <w:rPr>
                <w:sz w:val="18"/>
                <w:szCs w:val="18"/>
              </w:rPr>
            </w:pPr>
            <w:r w:rsidRPr="00710D9F">
              <w:rPr>
                <w:sz w:val="18"/>
                <w:szCs w:val="18"/>
              </w:rPr>
              <w:t>1</w:t>
            </w:r>
          </w:p>
        </w:tc>
        <w:tc>
          <w:tcPr>
            <w:tcW w:w="1239" w:type="dxa"/>
            <w:tcBorders>
              <w:bottom w:val="single" w:sz="4" w:space="0" w:color="404040"/>
              <w:right w:val="single" w:sz="4" w:space="0" w:color="404040"/>
            </w:tcBorders>
            <w:vAlign w:val="center"/>
          </w:tcPr>
          <w:p w14:paraId="39B88F01" w14:textId="77777777" w:rsidR="005B1901" w:rsidRPr="00710D9F" w:rsidRDefault="005B1901" w:rsidP="00921843">
            <w:pPr>
              <w:ind w:left="-29" w:right="-55"/>
              <w:jc w:val="left"/>
              <w:rPr>
                <w:bCs/>
                <w:sz w:val="18"/>
                <w:szCs w:val="18"/>
              </w:rPr>
            </w:pPr>
            <w:r w:rsidRPr="00710D9F">
              <w:rPr>
                <w:sz w:val="18"/>
                <w:szCs w:val="18"/>
              </w:rPr>
              <w:t>por arriba</w:t>
            </w:r>
          </w:p>
        </w:tc>
      </w:tr>
    </w:tbl>
    <w:p w14:paraId="1E8B831F" w14:textId="77777777" w:rsidR="005B1901" w:rsidRPr="005B1901" w:rsidRDefault="005B1901" w:rsidP="005B1901">
      <w:pPr>
        <w:widowControl w:val="0"/>
        <w:tabs>
          <w:tab w:val="left" w:pos="851"/>
        </w:tabs>
        <w:spacing w:before="20"/>
        <w:ind w:left="714" w:right="713" w:hanging="602"/>
        <w:outlineLvl w:val="0"/>
        <w:rPr>
          <w:sz w:val="16"/>
          <w:szCs w:val="16"/>
        </w:rPr>
      </w:pPr>
      <w:r w:rsidRPr="005B1901">
        <w:rPr>
          <w:sz w:val="16"/>
          <w:szCs w:val="16"/>
        </w:rPr>
        <w:t>Nota:</w:t>
      </w:r>
      <w:r w:rsidRPr="005B1901">
        <w:rPr>
          <w:sz w:val="16"/>
          <w:szCs w:val="16"/>
        </w:rPr>
        <w:tab/>
        <w:t xml:space="preserve">Los indicadores se generan con los datos referentes al mes de la entrevista. </w:t>
      </w:r>
    </w:p>
    <w:p w14:paraId="6931F787" w14:textId="77777777" w:rsidR="005B1901" w:rsidRPr="005B1901" w:rsidRDefault="005B1901" w:rsidP="005B1901">
      <w:pPr>
        <w:widowControl w:val="0"/>
        <w:tabs>
          <w:tab w:val="left" w:pos="851"/>
        </w:tabs>
        <w:ind w:left="714" w:hanging="602"/>
        <w:rPr>
          <w:sz w:val="16"/>
          <w:szCs w:val="16"/>
        </w:rPr>
      </w:pPr>
      <w:r w:rsidRPr="005B1901">
        <w:rPr>
          <w:sz w:val="16"/>
          <w:szCs w:val="16"/>
          <w:vertAlign w:val="superscript"/>
        </w:rPr>
        <w:t>1/</w:t>
      </w:r>
      <w:r w:rsidRPr="005B1901">
        <w:rPr>
          <w:sz w:val="16"/>
          <w:szCs w:val="16"/>
        </w:rPr>
        <w:tab/>
        <w:t>Las diferencias en puntos se obtienen de los respectivos indicadores considerando todos sus decimales.</w:t>
      </w:r>
    </w:p>
    <w:p w14:paraId="3CF1E9E2" w14:textId="35C5F367" w:rsidR="005B1901" w:rsidRPr="005B1901" w:rsidRDefault="005B1901" w:rsidP="005B1901">
      <w:pPr>
        <w:widowControl w:val="0"/>
        <w:tabs>
          <w:tab w:val="left" w:pos="851"/>
        </w:tabs>
        <w:spacing w:before="20"/>
        <w:ind w:left="714" w:right="51" w:hanging="602"/>
        <w:outlineLvl w:val="0"/>
        <w:rPr>
          <w:b/>
          <w:bCs/>
          <w:smallCaps/>
          <w:kern w:val="32"/>
          <w:sz w:val="16"/>
          <w:szCs w:val="16"/>
        </w:rPr>
      </w:pPr>
      <w:r w:rsidRPr="005B1901">
        <w:rPr>
          <w:sz w:val="16"/>
          <w:szCs w:val="16"/>
        </w:rPr>
        <w:t>Fuente:</w:t>
      </w:r>
      <w:r w:rsidRPr="005B1901">
        <w:rPr>
          <w:sz w:val="16"/>
          <w:szCs w:val="16"/>
        </w:rPr>
        <w:tab/>
      </w:r>
      <w:r w:rsidRPr="005B1901">
        <w:rPr>
          <w:smallCaps/>
          <w:sz w:val="16"/>
          <w:szCs w:val="16"/>
        </w:rPr>
        <w:t>inegi</w:t>
      </w:r>
      <w:r w:rsidRPr="005B1901">
        <w:rPr>
          <w:sz w:val="16"/>
          <w:szCs w:val="16"/>
        </w:rPr>
        <w:t xml:space="preserve"> y </w:t>
      </w:r>
      <w:r w:rsidR="00AD44C4" w:rsidRPr="005B1901">
        <w:rPr>
          <w:spacing w:val="-4"/>
          <w:sz w:val="16"/>
          <w:szCs w:val="16"/>
        </w:rPr>
        <w:t>Banco de México</w:t>
      </w:r>
      <w:r w:rsidRPr="005B1901">
        <w:rPr>
          <w:sz w:val="16"/>
          <w:szCs w:val="16"/>
        </w:rPr>
        <w:t xml:space="preserve">. </w:t>
      </w:r>
      <w:proofErr w:type="spellStart"/>
      <w:r w:rsidRPr="005B1901">
        <w:rPr>
          <w:smallCaps/>
          <w:sz w:val="16"/>
          <w:szCs w:val="16"/>
        </w:rPr>
        <w:t>emoe</w:t>
      </w:r>
      <w:proofErr w:type="spellEnd"/>
      <w:r w:rsidRPr="005B1901">
        <w:rPr>
          <w:sz w:val="16"/>
          <w:szCs w:val="16"/>
        </w:rPr>
        <w:t>. Cifras elaboradas mediante métodos econométricos, 2024.</w:t>
      </w:r>
    </w:p>
    <w:p w14:paraId="435A3FDE" w14:textId="77777777" w:rsidR="005B1901" w:rsidRPr="005B1901" w:rsidRDefault="005B1901" w:rsidP="005B1901">
      <w:pPr>
        <w:pStyle w:val="Prrafodelista"/>
        <w:spacing w:before="240"/>
        <w:ind w:left="0" w:right="51"/>
        <w:rPr>
          <w:snapToGrid w:val="0"/>
          <w:color w:val="000000" w:themeColor="text1"/>
          <w:szCs w:val="22"/>
          <w:bdr w:val="none" w:sz="0" w:space="0" w:color="auto" w:frame="1"/>
          <w:lang w:val="es-MX"/>
        </w:rPr>
      </w:pPr>
    </w:p>
    <w:p w14:paraId="136264B6" w14:textId="536DF33A" w:rsidR="001A50CE" w:rsidRPr="005B1901" w:rsidRDefault="001A50CE" w:rsidP="005B1901">
      <w:pPr>
        <w:pStyle w:val="Prrafodelista"/>
        <w:spacing w:before="240"/>
        <w:ind w:left="0" w:right="51"/>
        <w:rPr>
          <w:snapToGrid w:val="0"/>
          <w:color w:val="000000" w:themeColor="text1"/>
          <w:szCs w:val="22"/>
          <w:bdr w:val="none" w:sz="0" w:space="0" w:color="auto" w:frame="1"/>
          <w:lang w:val="es-MX"/>
        </w:rPr>
      </w:pPr>
      <w:r w:rsidRPr="005B1901">
        <w:rPr>
          <w:snapToGrid w:val="0"/>
          <w:color w:val="000000" w:themeColor="text1"/>
          <w:szCs w:val="22"/>
          <w:bdr w:val="none" w:sz="0" w:space="0" w:color="auto" w:frame="1"/>
          <w:lang w:val="es-MX"/>
        </w:rPr>
        <w:t xml:space="preserve">Con </w:t>
      </w:r>
      <w:r w:rsidR="00E81508" w:rsidRPr="005B1901">
        <w:rPr>
          <w:snapToGrid w:val="0"/>
          <w:color w:val="000000" w:themeColor="text1"/>
          <w:szCs w:val="22"/>
          <w:bdr w:val="none" w:sz="0" w:space="0" w:color="auto" w:frame="1"/>
          <w:lang w:val="es-MX"/>
        </w:rPr>
        <w:t>cifras</w:t>
      </w:r>
      <w:r w:rsidR="00A3131C" w:rsidRPr="005B1901">
        <w:rPr>
          <w:snapToGrid w:val="0"/>
          <w:color w:val="000000" w:themeColor="text1"/>
          <w:szCs w:val="22"/>
          <w:bdr w:val="none" w:sz="0" w:space="0" w:color="auto" w:frame="1"/>
          <w:lang w:val="es-MX"/>
        </w:rPr>
        <w:t xml:space="preserve"> originales</w:t>
      </w:r>
      <w:r w:rsidR="00EE63B6" w:rsidRPr="005B1901">
        <w:rPr>
          <w:snapToGrid w:val="0"/>
          <w:color w:val="000000" w:themeColor="text1"/>
          <w:szCs w:val="22"/>
          <w:bdr w:val="none" w:sz="0" w:space="0" w:color="auto" w:frame="1"/>
          <w:lang w:val="es-MX"/>
        </w:rPr>
        <w:t xml:space="preserve">, </w:t>
      </w:r>
      <w:r w:rsidRPr="005B1901">
        <w:rPr>
          <w:snapToGrid w:val="0"/>
          <w:color w:val="000000" w:themeColor="text1"/>
          <w:szCs w:val="22"/>
          <w:bdr w:val="none" w:sz="0" w:space="0" w:color="auto" w:frame="1"/>
          <w:lang w:val="es-MX"/>
        </w:rPr>
        <w:t xml:space="preserve">el </w:t>
      </w:r>
      <w:proofErr w:type="spellStart"/>
      <w:r w:rsidR="007E7169" w:rsidRPr="005B1901">
        <w:rPr>
          <w:smallCaps/>
          <w:snapToGrid w:val="0"/>
          <w:color w:val="000000" w:themeColor="text1"/>
          <w:szCs w:val="22"/>
          <w:bdr w:val="none" w:sz="0" w:space="0" w:color="auto" w:frame="1"/>
          <w:lang w:val="es-MX"/>
        </w:rPr>
        <w:t>ipm</w:t>
      </w:r>
      <w:proofErr w:type="spellEnd"/>
      <w:r w:rsidRPr="005B1901">
        <w:rPr>
          <w:snapToGrid w:val="0"/>
          <w:color w:val="000000" w:themeColor="text1"/>
          <w:szCs w:val="22"/>
          <w:bdr w:val="none" w:sz="0" w:space="0" w:color="auto" w:frame="1"/>
          <w:lang w:val="es-MX"/>
        </w:rPr>
        <w:t xml:space="preserve"> </w:t>
      </w:r>
      <w:r w:rsidR="00E81508" w:rsidRPr="005B1901">
        <w:rPr>
          <w:snapToGrid w:val="0"/>
          <w:color w:val="000000" w:themeColor="text1"/>
          <w:szCs w:val="22"/>
          <w:bdr w:val="none" w:sz="0" w:space="0" w:color="auto" w:frame="1"/>
          <w:lang w:val="es-MX"/>
        </w:rPr>
        <w:t>registró</w:t>
      </w:r>
      <w:r w:rsidR="008853A7" w:rsidRPr="005B1901">
        <w:rPr>
          <w:snapToGrid w:val="0"/>
          <w:color w:val="000000" w:themeColor="text1"/>
          <w:szCs w:val="22"/>
          <w:bdr w:val="none" w:sz="0" w:space="0" w:color="auto" w:frame="1"/>
          <w:lang w:val="es-MX"/>
        </w:rPr>
        <w:t xml:space="preserve"> un </w:t>
      </w:r>
      <w:r w:rsidR="00E81508" w:rsidRPr="005B1901">
        <w:rPr>
          <w:snapToGrid w:val="0"/>
          <w:color w:val="000000" w:themeColor="text1"/>
          <w:szCs w:val="22"/>
          <w:bdr w:val="none" w:sz="0" w:space="0" w:color="auto" w:frame="1"/>
          <w:lang w:val="es-MX"/>
        </w:rPr>
        <w:t>crecimiento</w:t>
      </w:r>
      <w:r w:rsidR="00A3131C" w:rsidRPr="005B1901">
        <w:rPr>
          <w:snapToGrid w:val="0"/>
          <w:color w:val="000000" w:themeColor="text1"/>
          <w:szCs w:val="22"/>
          <w:bdr w:val="none" w:sz="0" w:space="0" w:color="auto" w:frame="1"/>
          <w:lang w:val="es-MX"/>
        </w:rPr>
        <w:t xml:space="preserve"> anual </w:t>
      </w:r>
      <w:r w:rsidR="008853A7" w:rsidRPr="005B1901">
        <w:rPr>
          <w:snapToGrid w:val="0"/>
          <w:color w:val="000000" w:themeColor="text1"/>
          <w:szCs w:val="22"/>
          <w:bdr w:val="none" w:sz="0" w:space="0" w:color="auto" w:frame="1"/>
          <w:lang w:val="es-MX"/>
        </w:rPr>
        <w:t>de 1.</w:t>
      </w:r>
      <w:r w:rsidR="00E81508" w:rsidRPr="005B1901">
        <w:rPr>
          <w:snapToGrid w:val="0"/>
          <w:color w:val="000000" w:themeColor="text1"/>
          <w:szCs w:val="22"/>
          <w:bdr w:val="none" w:sz="0" w:space="0" w:color="auto" w:frame="1"/>
          <w:lang w:val="es-MX"/>
        </w:rPr>
        <w:t>8</w:t>
      </w:r>
      <w:r w:rsidR="00DB6CDF" w:rsidRPr="005B1901">
        <w:rPr>
          <w:snapToGrid w:val="0"/>
          <w:color w:val="000000" w:themeColor="text1"/>
          <w:szCs w:val="22"/>
          <w:bdr w:val="none" w:sz="0" w:space="0" w:color="auto" w:frame="1"/>
          <w:lang w:val="es-MX"/>
        </w:rPr>
        <w:t xml:space="preserve"> puntos y </w:t>
      </w:r>
      <w:r w:rsidR="00E81508" w:rsidRPr="005B1901">
        <w:rPr>
          <w:snapToGrid w:val="0"/>
          <w:color w:val="000000" w:themeColor="text1"/>
          <w:szCs w:val="22"/>
          <w:bdr w:val="none" w:sz="0" w:space="0" w:color="auto" w:frame="1"/>
          <w:lang w:val="es-MX"/>
        </w:rPr>
        <w:t>un nivel</w:t>
      </w:r>
      <w:r w:rsidR="00DB6CDF" w:rsidRPr="005B1901">
        <w:rPr>
          <w:snapToGrid w:val="0"/>
          <w:color w:val="000000" w:themeColor="text1"/>
          <w:szCs w:val="22"/>
          <w:bdr w:val="none" w:sz="0" w:space="0" w:color="auto" w:frame="1"/>
          <w:lang w:val="es-MX"/>
        </w:rPr>
        <w:t xml:space="preserve"> </w:t>
      </w:r>
      <w:r w:rsidR="00E81508" w:rsidRPr="005B1901">
        <w:rPr>
          <w:snapToGrid w:val="0"/>
          <w:color w:val="000000" w:themeColor="text1"/>
          <w:szCs w:val="22"/>
          <w:bdr w:val="none" w:sz="0" w:space="0" w:color="auto" w:frame="1"/>
          <w:lang w:val="es-MX"/>
        </w:rPr>
        <w:t>de</w:t>
      </w:r>
      <w:r w:rsidR="00DB6CDF" w:rsidRPr="005B1901">
        <w:rPr>
          <w:snapToGrid w:val="0"/>
          <w:color w:val="000000" w:themeColor="text1"/>
          <w:szCs w:val="22"/>
          <w:bdr w:val="none" w:sz="0" w:space="0" w:color="auto" w:frame="1"/>
          <w:lang w:val="es-MX"/>
        </w:rPr>
        <w:t xml:space="preserve"> </w:t>
      </w:r>
      <w:r w:rsidR="008853A7" w:rsidRPr="005B1901">
        <w:rPr>
          <w:snapToGrid w:val="0"/>
          <w:color w:val="000000" w:themeColor="text1"/>
          <w:szCs w:val="22"/>
          <w:bdr w:val="none" w:sz="0" w:space="0" w:color="auto" w:frame="1"/>
          <w:lang w:val="es-MX"/>
        </w:rPr>
        <w:t>5</w:t>
      </w:r>
      <w:r w:rsidR="00E81508" w:rsidRPr="005B1901">
        <w:rPr>
          <w:snapToGrid w:val="0"/>
          <w:color w:val="000000" w:themeColor="text1"/>
          <w:szCs w:val="22"/>
          <w:bdr w:val="none" w:sz="0" w:space="0" w:color="auto" w:frame="1"/>
          <w:lang w:val="es-MX"/>
        </w:rPr>
        <w:t>3.5</w:t>
      </w:r>
      <w:r w:rsidR="00A64511">
        <w:rPr>
          <w:snapToGrid w:val="0"/>
          <w:color w:val="000000" w:themeColor="text1"/>
          <w:szCs w:val="22"/>
          <w:bdr w:val="none" w:sz="0" w:space="0" w:color="auto" w:frame="1"/>
          <w:lang w:val="es-MX"/>
        </w:rPr>
        <w:t> </w:t>
      </w:r>
      <w:r w:rsidR="00EE63B6" w:rsidRPr="005B1901">
        <w:rPr>
          <w:snapToGrid w:val="0"/>
          <w:color w:val="000000" w:themeColor="text1"/>
          <w:szCs w:val="22"/>
          <w:bdr w:val="none" w:sz="0" w:space="0" w:color="auto" w:frame="1"/>
          <w:lang w:val="es-MX"/>
        </w:rPr>
        <w:t>puntos</w:t>
      </w:r>
      <w:r w:rsidRPr="005B1901">
        <w:rPr>
          <w:snapToGrid w:val="0"/>
          <w:color w:val="000000" w:themeColor="text1"/>
          <w:szCs w:val="22"/>
          <w:bdr w:val="none" w:sz="0" w:space="0" w:color="auto" w:frame="1"/>
          <w:lang w:val="es-MX"/>
        </w:rPr>
        <w:t xml:space="preserve">. </w:t>
      </w:r>
      <w:r w:rsidR="00E81508" w:rsidRPr="005B1901">
        <w:rPr>
          <w:snapToGrid w:val="0"/>
          <w:color w:val="000000" w:themeColor="text1"/>
          <w:szCs w:val="22"/>
          <w:bdr w:val="none" w:sz="0" w:space="0" w:color="auto" w:frame="1"/>
          <w:lang w:val="es-MX"/>
        </w:rPr>
        <w:t>Respecto de sus cinco componentes, tres mostraron avances anuales. Los dos restantes disminuyeron</w:t>
      </w:r>
      <w:r w:rsidRPr="005B1901">
        <w:rPr>
          <w:snapToGrid w:val="0"/>
          <w:color w:val="000000" w:themeColor="text1"/>
          <w:szCs w:val="22"/>
          <w:bdr w:val="none" w:sz="0" w:space="0" w:color="auto" w:frame="1"/>
          <w:lang w:val="es-MX"/>
        </w:rPr>
        <w:t>.</w:t>
      </w:r>
    </w:p>
    <w:p w14:paraId="47711FCD" w14:textId="6B55CAB3" w:rsidR="008A45E8" w:rsidRDefault="00B836EF" w:rsidP="005B1901">
      <w:pPr>
        <w:pStyle w:val="Prrafodelista"/>
        <w:spacing w:before="240"/>
        <w:ind w:left="0" w:right="51"/>
        <w:rPr>
          <w:snapToGrid w:val="0"/>
          <w:color w:val="000000" w:themeColor="text1"/>
          <w:szCs w:val="22"/>
          <w:bdr w:val="none" w:sz="0" w:space="0" w:color="auto" w:frame="1"/>
          <w:lang w:val="es-MX"/>
        </w:rPr>
      </w:pPr>
      <w:r w:rsidRPr="005B1901">
        <w:rPr>
          <w:snapToGrid w:val="0"/>
          <w:color w:val="000000" w:themeColor="text1"/>
          <w:szCs w:val="22"/>
          <w:bdr w:val="none" w:sz="0" w:space="0" w:color="auto" w:frame="1"/>
          <w:lang w:val="es-MX"/>
        </w:rPr>
        <w:t>En</w:t>
      </w:r>
      <w:r w:rsidR="00D11D19" w:rsidRPr="005B1901">
        <w:rPr>
          <w:snapToGrid w:val="0"/>
          <w:color w:val="000000" w:themeColor="text1"/>
          <w:szCs w:val="22"/>
          <w:bdr w:val="none" w:sz="0" w:space="0" w:color="auto" w:frame="1"/>
          <w:lang w:val="es-MX"/>
        </w:rPr>
        <w:t xml:space="preserve"> </w:t>
      </w:r>
      <w:r w:rsidR="00A3131C" w:rsidRPr="005B1901">
        <w:rPr>
          <w:snapToGrid w:val="0"/>
          <w:color w:val="000000" w:themeColor="text1"/>
          <w:szCs w:val="22"/>
          <w:bdr w:val="none" w:sz="0" w:space="0" w:color="auto" w:frame="1"/>
          <w:lang w:val="es-MX"/>
        </w:rPr>
        <w:t xml:space="preserve">el </w:t>
      </w:r>
      <w:r w:rsidR="00E81508" w:rsidRPr="005B1901">
        <w:rPr>
          <w:snapToGrid w:val="0"/>
          <w:color w:val="000000" w:themeColor="text1"/>
          <w:szCs w:val="22"/>
          <w:bdr w:val="none" w:sz="0" w:space="0" w:color="auto" w:frame="1"/>
          <w:lang w:val="es-MX"/>
        </w:rPr>
        <w:t>segundo</w:t>
      </w:r>
      <w:r w:rsidR="0048145F" w:rsidRPr="005B1901">
        <w:rPr>
          <w:snapToGrid w:val="0"/>
          <w:color w:val="000000" w:themeColor="text1"/>
          <w:szCs w:val="22"/>
          <w:bdr w:val="none" w:sz="0" w:space="0" w:color="auto" w:frame="1"/>
          <w:lang w:val="es-MX"/>
        </w:rPr>
        <w:t xml:space="preserve"> mes de 2024</w:t>
      </w:r>
      <w:r w:rsidRPr="005B1901">
        <w:rPr>
          <w:snapToGrid w:val="0"/>
          <w:color w:val="000000" w:themeColor="text1"/>
          <w:szCs w:val="22"/>
          <w:bdr w:val="none" w:sz="0" w:space="0" w:color="auto" w:frame="1"/>
          <w:lang w:val="es-MX"/>
        </w:rPr>
        <w:t xml:space="preserve"> y con</w:t>
      </w:r>
      <w:r w:rsidR="00EE63B6" w:rsidRPr="005B1901">
        <w:rPr>
          <w:snapToGrid w:val="0"/>
          <w:color w:val="000000" w:themeColor="text1"/>
          <w:szCs w:val="22"/>
          <w:bdr w:val="none" w:sz="0" w:space="0" w:color="auto" w:frame="1"/>
          <w:lang w:val="es-MX"/>
        </w:rPr>
        <w:t xml:space="preserve"> </w:t>
      </w:r>
      <w:r w:rsidR="00E81508" w:rsidRPr="005B1901">
        <w:rPr>
          <w:snapToGrid w:val="0"/>
          <w:color w:val="000000" w:themeColor="text1"/>
          <w:szCs w:val="22"/>
          <w:bdr w:val="none" w:sz="0" w:space="0" w:color="auto" w:frame="1"/>
          <w:lang w:val="es-MX"/>
        </w:rPr>
        <w:t>datos originales</w:t>
      </w:r>
      <w:r w:rsidRPr="005B1901">
        <w:rPr>
          <w:snapToGrid w:val="0"/>
          <w:color w:val="000000" w:themeColor="text1"/>
          <w:szCs w:val="22"/>
          <w:bdr w:val="none" w:sz="0" w:space="0" w:color="auto" w:frame="1"/>
          <w:lang w:val="es-MX"/>
        </w:rPr>
        <w:t>, p</w:t>
      </w:r>
      <w:r w:rsidR="001A50CE" w:rsidRPr="005B1901">
        <w:rPr>
          <w:snapToGrid w:val="0"/>
          <w:color w:val="000000" w:themeColor="text1"/>
          <w:szCs w:val="22"/>
          <w:bdr w:val="none" w:sz="0" w:space="0" w:color="auto" w:frame="1"/>
          <w:lang w:val="es-MX"/>
        </w:rPr>
        <w:t xml:space="preserve">or grupos de subsectores de actividad económica, </w:t>
      </w:r>
      <w:r w:rsidR="009F5DFF" w:rsidRPr="005B1901">
        <w:rPr>
          <w:snapToGrid w:val="0"/>
          <w:color w:val="000000" w:themeColor="text1"/>
          <w:szCs w:val="22"/>
          <w:bdr w:val="none" w:sz="0" w:space="0" w:color="auto" w:frame="1"/>
          <w:lang w:val="es-MX"/>
        </w:rPr>
        <w:t>c</w:t>
      </w:r>
      <w:r w:rsidR="00122813" w:rsidRPr="005B1901">
        <w:rPr>
          <w:snapToGrid w:val="0"/>
          <w:color w:val="000000" w:themeColor="text1"/>
          <w:szCs w:val="22"/>
          <w:bdr w:val="none" w:sz="0" w:space="0" w:color="auto" w:frame="1"/>
          <w:lang w:val="es-MX"/>
        </w:rPr>
        <w:t>uatro</w:t>
      </w:r>
      <w:r w:rsidR="001A50CE" w:rsidRPr="005B1901">
        <w:rPr>
          <w:snapToGrid w:val="0"/>
          <w:color w:val="000000" w:themeColor="text1"/>
          <w:szCs w:val="22"/>
          <w:bdr w:val="none" w:sz="0" w:space="0" w:color="auto" w:frame="1"/>
          <w:lang w:val="es-MX"/>
        </w:rPr>
        <w:t xml:space="preserve"> de los siete </w:t>
      </w:r>
      <w:r w:rsidR="00122813" w:rsidRPr="005B1901">
        <w:rPr>
          <w:snapToGrid w:val="0"/>
          <w:color w:val="000000" w:themeColor="text1"/>
          <w:szCs w:val="22"/>
          <w:bdr w:val="none" w:sz="0" w:space="0" w:color="auto" w:frame="1"/>
          <w:lang w:val="es-MX"/>
        </w:rPr>
        <w:t>rubros</w:t>
      </w:r>
      <w:r w:rsidR="001A50CE" w:rsidRPr="005B1901">
        <w:rPr>
          <w:snapToGrid w:val="0"/>
          <w:color w:val="000000" w:themeColor="text1"/>
          <w:szCs w:val="22"/>
          <w:bdr w:val="none" w:sz="0" w:space="0" w:color="auto" w:frame="1"/>
          <w:lang w:val="es-MX"/>
        </w:rPr>
        <w:t xml:space="preserve"> que </w:t>
      </w:r>
      <w:r w:rsidR="00122813" w:rsidRPr="005B1901">
        <w:rPr>
          <w:snapToGrid w:val="0"/>
          <w:color w:val="000000" w:themeColor="text1"/>
          <w:szCs w:val="22"/>
          <w:bdr w:val="none" w:sz="0" w:space="0" w:color="auto" w:frame="1"/>
          <w:lang w:val="es-MX"/>
        </w:rPr>
        <w:t>integran</w:t>
      </w:r>
      <w:r w:rsidR="001A50CE" w:rsidRPr="005B1901">
        <w:rPr>
          <w:snapToGrid w:val="0"/>
          <w:color w:val="000000" w:themeColor="text1"/>
          <w:szCs w:val="22"/>
          <w:bdr w:val="none" w:sz="0" w:space="0" w:color="auto" w:frame="1"/>
          <w:lang w:val="es-MX"/>
        </w:rPr>
        <w:t xml:space="preserve"> el </w:t>
      </w:r>
      <w:proofErr w:type="spellStart"/>
      <w:r w:rsidR="007E7169" w:rsidRPr="005B1901">
        <w:rPr>
          <w:smallCaps/>
          <w:snapToGrid w:val="0"/>
          <w:color w:val="000000" w:themeColor="text1"/>
          <w:szCs w:val="22"/>
          <w:bdr w:val="none" w:sz="0" w:space="0" w:color="auto" w:frame="1"/>
          <w:lang w:val="es-MX"/>
        </w:rPr>
        <w:t>ipm</w:t>
      </w:r>
      <w:proofErr w:type="spellEnd"/>
      <w:r w:rsidR="001A50CE" w:rsidRPr="005B1901">
        <w:rPr>
          <w:snapToGrid w:val="0"/>
          <w:color w:val="000000" w:themeColor="text1"/>
          <w:szCs w:val="22"/>
          <w:bdr w:val="none" w:sz="0" w:space="0" w:color="auto" w:frame="1"/>
          <w:lang w:val="es-MX"/>
        </w:rPr>
        <w:t xml:space="preserve"> </w:t>
      </w:r>
      <w:r w:rsidR="00122813" w:rsidRPr="005B1901">
        <w:rPr>
          <w:snapToGrid w:val="0"/>
          <w:color w:val="000000" w:themeColor="text1"/>
          <w:szCs w:val="22"/>
          <w:bdr w:val="none" w:sz="0" w:space="0" w:color="auto" w:frame="1"/>
          <w:lang w:val="es-MX"/>
        </w:rPr>
        <w:t>presentaron alzas anuales, mientras que tres retrocedieron.</w:t>
      </w:r>
    </w:p>
    <w:p w14:paraId="0E51A7E9" w14:textId="77777777" w:rsidR="005B1901" w:rsidRDefault="005B1901" w:rsidP="005B1901">
      <w:pPr>
        <w:pStyle w:val="Prrafodelista"/>
        <w:spacing w:before="240"/>
        <w:ind w:left="0" w:right="51"/>
        <w:rPr>
          <w:snapToGrid w:val="0"/>
          <w:color w:val="000000" w:themeColor="text1"/>
          <w:szCs w:val="22"/>
          <w:bdr w:val="none" w:sz="0" w:space="0" w:color="auto" w:frame="1"/>
          <w:lang w:val="es-MX"/>
        </w:rPr>
      </w:pPr>
    </w:p>
    <w:p w14:paraId="4F87ABF5" w14:textId="77777777" w:rsidR="005B1901" w:rsidRDefault="005B1901" w:rsidP="005B1901">
      <w:pPr>
        <w:spacing w:before="360"/>
        <w:ind w:left="142" w:right="51"/>
        <w:jc w:val="center"/>
        <w:rPr>
          <w:bCs/>
          <w:snapToGrid w:val="0"/>
        </w:rPr>
      </w:pPr>
      <w:bookmarkStart w:id="1" w:name="_Hlk148955161"/>
      <w:bookmarkStart w:id="2" w:name="_Hlk151644455"/>
      <w:r w:rsidRPr="005B1901">
        <w:rPr>
          <w:bCs/>
          <w:snapToGrid w:val="0"/>
        </w:rPr>
        <w:t>Se anexa Nota técnica</w:t>
      </w:r>
      <w:bookmarkEnd w:id="1"/>
    </w:p>
    <w:p w14:paraId="034A29EA" w14:textId="77777777" w:rsidR="005B1901" w:rsidRPr="005B1901" w:rsidRDefault="005B1901" w:rsidP="005B1901">
      <w:pPr>
        <w:spacing w:before="360"/>
        <w:ind w:left="142" w:right="51"/>
        <w:jc w:val="center"/>
        <w:rPr>
          <w:bCs/>
          <w:snapToGrid w:val="0"/>
        </w:rPr>
      </w:pPr>
    </w:p>
    <w:p w14:paraId="22DCB2D8" w14:textId="77777777" w:rsidR="005B1901" w:rsidRPr="005B1901" w:rsidRDefault="005B1901" w:rsidP="005B1901">
      <w:pPr>
        <w:pStyle w:val="NormalWeb"/>
        <w:ind w:left="-426" w:right="-518"/>
        <w:contextualSpacing/>
        <w:jc w:val="center"/>
        <w:rPr>
          <w:rFonts w:ascii="Arial" w:hAnsi="Arial" w:cs="Arial"/>
          <w:lang w:val="es-ES_tradnl"/>
        </w:rPr>
      </w:pPr>
      <w:bookmarkStart w:id="3" w:name="_Hlk147145049"/>
      <w:bookmarkStart w:id="4" w:name="_Hlk148018231"/>
      <w:bookmarkStart w:id="5" w:name="_Hlk148955175"/>
      <w:r w:rsidRPr="005B1901">
        <w:rPr>
          <w:rFonts w:ascii="Arial" w:hAnsi="Arial" w:cs="Arial"/>
          <w:lang w:val="es-ES_tradnl"/>
        </w:rPr>
        <w:t xml:space="preserve">Para consultas de medios y periodistas, escribir a: </w:t>
      </w:r>
      <w:hyperlink r:id="rId12" w:history="1">
        <w:r w:rsidRPr="005B1901">
          <w:rPr>
            <w:rStyle w:val="Hipervnculo"/>
            <w:rFonts w:ascii="Arial" w:eastAsiaTheme="majorEastAsia" w:hAnsi="Arial" w:cs="Arial"/>
          </w:rPr>
          <w:t>comunicacionsocial@inegi.org.mx</w:t>
        </w:r>
      </w:hyperlink>
      <w:r w:rsidRPr="005B1901">
        <w:rPr>
          <w:rFonts w:ascii="Arial" w:hAnsi="Arial" w:cs="Arial"/>
          <w:lang w:val="es-ES_tradnl"/>
        </w:rPr>
        <w:t xml:space="preserve">    </w:t>
      </w:r>
    </w:p>
    <w:p w14:paraId="07C5BDF9" w14:textId="77777777" w:rsidR="005B1901" w:rsidRPr="005B1901" w:rsidRDefault="005B1901" w:rsidP="005B1901">
      <w:pPr>
        <w:pStyle w:val="NormalWeb"/>
        <w:spacing w:before="0" w:beforeAutospacing="0" w:after="0" w:afterAutospacing="0"/>
        <w:ind w:left="-426" w:right="-518"/>
        <w:contextualSpacing/>
        <w:jc w:val="center"/>
        <w:rPr>
          <w:rFonts w:ascii="Arial" w:hAnsi="Arial" w:cs="Arial"/>
          <w:lang w:val="es-ES_tradnl"/>
        </w:rPr>
      </w:pPr>
      <w:r w:rsidRPr="005B1901">
        <w:rPr>
          <w:rFonts w:ascii="Arial" w:hAnsi="Arial" w:cs="Arial"/>
          <w:lang w:val="es-ES_tradnl"/>
        </w:rPr>
        <w:t>o llamar al teléfono (55) 52-78-10-00, extensiones 321064, 321134 y 321241.</w:t>
      </w:r>
    </w:p>
    <w:p w14:paraId="4815A118" w14:textId="77777777" w:rsidR="005B1901" w:rsidRPr="005B1901" w:rsidRDefault="005B1901" w:rsidP="005B1901">
      <w:pPr>
        <w:pStyle w:val="NormalWeb"/>
        <w:spacing w:before="0" w:beforeAutospacing="0" w:after="0" w:afterAutospacing="0"/>
        <w:ind w:left="-426" w:right="-518"/>
        <w:contextualSpacing/>
        <w:jc w:val="center"/>
        <w:rPr>
          <w:rFonts w:ascii="Arial" w:hAnsi="Arial" w:cs="Arial"/>
        </w:rPr>
      </w:pPr>
      <w:r w:rsidRPr="005B1901">
        <w:rPr>
          <w:rFonts w:ascii="Arial" w:hAnsi="Arial" w:cs="Arial"/>
        </w:rPr>
        <w:t>Dirección de Atención a Medios/ Dirección General Adjunta de Comunicación</w:t>
      </w:r>
    </w:p>
    <w:p w14:paraId="00D1F2EF" w14:textId="77777777" w:rsidR="005B1901" w:rsidRPr="005B1901" w:rsidRDefault="005B1901" w:rsidP="005B1901">
      <w:pPr>
        <w:pStyle w:val="NormalWeb"/>
        <w:spacing w:before="0" w:beforeAutospacing="0" w:after="0" w:afterAutospacing="0"/>
        <w:ind w:left="-426" w:right="-518"/>
        <w:contextualSpacing/>
        <w:jc w:val="center"/>
        <w:rPr>
          <w:rFonts w:ascii="Arial" w:hAnsi="Arial" w:cs="Arial"/>
        </w:rPr>
      </w:pPr>
    </w:p>
    <w:p w14:paraId="11616CCE" w14:textId="58A1B87C" w:rsidR="00A64511" w:rsidRDefault="005B1901" w:rsidP="005B1901">
      <w:pPr>
        <w:pStyle w:val="Piedepgina"/>
        <w:jc w:val="center"/>
        <w:rPr>
          <w:noProof/>
          <w:lang w:eastAsia="es-MX"/>
        </w:rPr>
      </w:pPr>
      <w:r w:rsidRPr="005B1901">
        <w:rPr>
          <w:noProof/>
          <w:lang w:eastAsia="es-MX"/>
        </w:rPr>
        <w:drawing>
          <wp:inline distT="0" distB="0" distL="0" distR="0" wp14:anchorId="6197D43B" wp14:editId="056D6545">
            <wp:extent cx="372725" cy="360438"/>
            <wp:effectExtent l="0" t="0" r="0" b="0"/>
            <wp:docPr id="9" name="Imagen 9" descr="Icono&#10;&#10;Descripción generada automáticament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5B1901">
        <w:rPr>
          <w:noProof/>
          <w:lang w:eastAsia="es-MX"/>
        </w:rPr>
        <w:t xml:space="preserve"> </w:t>
      </w:r>
      <w:r w:rsidRPr="005B1901">
        <w:rPr>
          <w:noProof/>
          <w:lang w:eastAsia="es-MX"/>
        </w:rPr>
        <w:drawing>
          <wp:inline distT="0" distB="0" distL="0" distR="0" wp14:anchorId="107A833D" wp14:editId="29037A09">
            <wp:extent cx="365760" cy="365760"/>
            <wp:effectExtent l="0" t="0" r="2540" b="2540"/>
            <wp:docPr id="2" name="Imagen 2" descr="Icono&#10;&#10;Descripción generada automáticament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B1901">
        <w:rPr>
          <w:noProof/>
          <w:lang w:eastAsia="es-MX"/>
        </w:rPr>
        <w:t xml:space="preserve"> </w:t>
      </w:r>
      <w:r w:rsidRPr="005B1901">
        <w:rPr>
          <w:noProof/>
          <w:lang w:eastAsia="es-MX"/>
        </w:rPr>
        <w:drawing>
          <wp:inline distT="0" distB="0" distL="0" distR="0" wp14:anchorId="504DB03B" wp14:editId="5F7F12DC">
            <wp:extent cx="365760" cy="365760"/>
            <wp:effectExtent l="0" t="0" r="2540" b="2540"/>
            <wp:docPr id="4" name="Imagen 4" descr="Imagen que contiene objeto, reloj&#10;&#10;Descripción generada automáticamen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B1901">
        <w:rPr>
          <w:noProof/>
          <w:lang w:eastAsia="es-MX"/>
        </w:rPr>
        <w:t xml:space="preserve"> </w:t>
      </w:r>
      <w:r w:rsidRPr="005B1901">
        <w:rPr>
          <w:noProof/>
          <w:lang w:eastAsia="es-MX"/>
        </w:rPr>
        <w:drawing>
          <wp:inline distT="0" distB="0" distL="0" distR="0" wp14:anchorId="62E00415" wp14:editId="4FFAB1AD">
            <wp:extent cx="365760" cy="365760"/>
            <wp:effectExtent l="0" t="0" r="2540" b="2540"/>
            <wp:docPr id="5" name="Imagen 5" descr="Logotipo&#10;&#10;Descripción generada automáticamen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5B1901">
        <w:rPr>
          <w:noProof/>
          <w:lang w:eastAsia="es-MX"/>
        </w:rPr>
        <w:t xml:space="preserve">  </w:t>
      </w:r>
      <w:r w:rsidRPr="005B1901">
        <w:rPr>
          <w:noProof/>
          <w:lang w:eastAsia="es-MX"/>
        </w:rPr>
        <w:drawing>
          <wp:inline distT="0" distB="0" distL="0" distR="0" wp14:anchorId="52827E8A" wp14:editId="0617894B">
            <wp:extent cx="1436914" cy="152592"/>
            <wp:effectExtent l="0" t="0" r="0" b="0"/>
            <wp:docPr id="110212799" name="Imagen 110212799" descr="Icono&#10;&#10;Descripción generada automáticamen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3"/>
      <w:bookmarkEnd w:id="4"/>
      <w:r w:rsidR="00A64511">
        <w:rPr>
          <w:noProof/>
          <w:lang w:eastAsia="es-MX"/>
        </w:rPr>
        <w:br w:type="page"/>
      </w:r>
    </w:p>
    <w:p w14:paraId="1DEF93FD" w14:textId="77777777" w:rsidR="00A64511" w:rsidRDefault="00A64511" w:rsidP="00A64511">
      <w:pPr>
        <w:spacing w:before="120"/>
        <w:ind w:left="-425" w:right="-516"/>
        <w:contextualSpacing/>
        <w:jc w:val="center"/>
        <w:rPr>
          <w:b/>
          <w:bCs/>
          <w:noProof/>
          <w:lang w:eastAsia="es-MX"/>
        </w:rPr>
      </w:pPr>
      <w:bookmarkStart w:id="6" w:name="_Hlk155602562"/>
      <w:r w:rsidRPr="008F42F6">
        <w:rPr>
          <w:b/>
          <w:bCs/>
          <w:noProof/>
          <w:lang w:eastAsia="es-MX"/>
        </w:rPr>
        <w:lastRenderedPageBreak/>
        <w:t>NOTA TÉCNICA</w:t>
      </w:r>
    </w:p>
    <w:p w14:paraId="7F13F529" w14:textId="77777777" w:rsidR="00A64511" w:rsidRDefault="00A64511" w:rsidP="00A64511">
      <w:pPr>
        <w:spacing w:before="120"/>
        <w:ind w:left="-425" w:right="-516"/>
        <w:contextualSpacing/>
        <w:jc w:val="center"/>
        <w:rPr>
          <w:b/>
          <w:bCs/>
          <w:noProof/>
          <w:lang w:eastAsia="es-MX"/>
        </w:rPr>
      </w:pPr>
    </w:p>
    <w:p w14:paraId="6135430E" w14:textId="77777777" w:rsidR="00A64511" w:rsidRPr="005B1901" w:rsidRDefault="00A64511" w:rsidP="00A64511">
      <w:pPr>
        <w:pStyle w:val="Subttulo"/>
        <w:rPr>
          <w:rFonts w:ascii="Arial Negrita" w:hAnsi="Arial Negrita"/>
        </w:rPr>
      </w:pPr>
      <w:r w:rsidRPr="005B1901">
        <w:rPr>
          <w:rFonts w:ascii="Arial Negrita" w:hAnsi="Arial Negrita"/>
        </w:rPr>
        <w:t>INDICADOR DE PEDIDOS MANUFACTUREROS</w:t>
      </w:r>
    </w:p>
    <w:p w14:paraId="535A625A" w14:textId="77777777" w:rsidR="00A64511" w:rsidRDefault="00A64511" w:rsidP="00A64511">
      <w:pPr>
        <w:spacing w:before="40"/>
        <w:contextualSpacing/>
        <w:jc w:val="center"/>
        <w:rPr>
          <w:bCs/>
        </w:rPr>
      </w:pPr>
      <w:r w:rsidRPr="005B1901">
        <w:rPr>
          <w:bCs/>
        </w:rPr>
        <w:t>Febrero de 2024</w:t>
      </w:r>
    </w:p>
    <w:bookmarkEnd w:id="2"/>
    <w:bookmarkEnd w:id="5"/>
    <w:bookmarkEnd w:id="6"/>
    <w:p w14:paraId="0DF79960" w14:textId="4D7BF09C" w:rsidR="00DF4364" w:rsidRPr="00B61114" w:rsidRDefault="00DF4364" w:rsidP="00DF4364">
      <w:pPr>
        <w:spacing w:before="360"/>
        <w:ind w:right="51"/>
        <w:rPr>
          <w:lang w:val="es-MX"/>
        </w:rPr>
      </w:pPr>
      <w:r w:rsidRPr="00B61114">
        <w:rPr>
          <w:lang w:val="es-MX"/>
        </w:rPr>
        <w:t>El Instituto Nacional de Estadística y Geografía (</w:t>
      </w:r>
      <w:r w:rsidR="00616DD5" w:rsidRPr="00B61114">
        <w:rPr>
          <w:smallCaps/>
          <w:lang w:val="es-MX"/>
        </w:rPr>
        <w:t>inegi</w:t>
      </w:r>
      <w:r w:rsidRPr="00B61114">
        <w:rPr>
          <w:lang w:val="es-MX"/>
        </w:rPr>
        <w:t>) y el Banco de México informan los resultados del Indicador de Pedidos Manufactureros (</w:t>
      </w:r>
      <w:proofErr w:type="spellStart"/>
      <w:r w:rsidR="00616DD5" w:rsidRPr="00B61114">
        <w:rPr>
          <w:smallCaps/>
          <w:lang w:val="es-MX"/>
        </w:rPr>
        <w:t>ipm</w:t>
      </w:r>
      <w:proofErr w:type="spellEnd"/>
      <w:r w:rsidRPr="00B61114">
        <w:rPr>
          <w:lang w:val="es-MX"/>
        </w:rPr>
        <w:t xml:space="preserve">) </w:t>
      </w:r>
      <w:r w:rsidR="00B93C69">
        <w:rPr>
          <w:lang w:val="es-MX"/>
        </w:rPr>
        <w:t xml:space="preserve">en </w:t>
      </w:r>
      <w:r w:rsidR="007B55E7">
        <w:rPr>
          <w:lang w:val="es-MX"/>
        </w:rPr>
        <w:t xml:space="preserve">el </w:t>
      </w:r>
      <w:r w:rsidR="00941C4D">
        <w:rPr>
          <w:lang w:val="es-MX"/>
        </w:rPr>
        <w:t>segundo</w:t>
      </w:r>
      <w:r w:rsidR="007B55E7">
        <w:rPr>
          <w:lang w:val="es-MX"/>
        </w:rPr>
        <w:t xml:space="preserve"> mes de</w:t>
      </w:r>
      <w:r w:rsidR="00F90959">
        <w:rPr>
          <w:lang w:val="es-MX"/>
        </w:rPr>
        <w:t xml:space="preserve"> 2024</w:t>
      </w:r>
      <w:r w:rsidRPr="00B61114">
        <w:rPr>
          <w:lang w:val="es-MX"/>
        </w:rPr>
        <w:t xml:space="preserve">. El </w:t>
      </w:r>
      <w:proofErr w:type="spellStart"/>
      <w:r w:rsidR="00616DD5" w:rsidRPr="00B61114">
        <w:rPr>
          <w:smallCaps/>
          <w:lang w:val="es-MX"/>
        </w:rPr>
        <w:t>ipm</w:t>
      </w:r>
      <w:proofErr w:type="spellEnd"/>
      <w:r w:rsidRPr="00B61114">
        <w:rPr>
          <w:lang w:val="es-MX"/>
        </w:rPr>
        <w:t xml:space="preserve"> se elabora considerando las expectativas de las y los directivos empresariales de dicho sector que capta la Encuesta Mensual de Opinión Empresarial (</w:t>
      </w:r>
      <w:proofErr w:type="spellStart"/>
      <w:r w:rsidR="00616DD5" w:rsidRPr="00B61114">
        <w:rPr>
          <w:smallCaps/>
          <w:lang w:val="es-MX"/>
        </w:rPr>
        <w:t>emoe</w:t>
      </w:r>
      <w:proofErr w:type="spellEnd"/>
      <w:r w:rsidRPr="00B61114">
        <w:rPr>
          <w:lang w:val="es-MX"/>
        </w:rPr>
        <w:t>) para las siguientes variables: pedidos, producción, personal ocupado, oportunidad en la entrega de insumos por parte de proveedores e inventarios de insumos.</w:t>
      </w:r>
    </w:p>
    <w:p w14:paraId="655860B4" w14:textId="39D86FE3" w:rsidR="00E379BD" w:rsidRPr="00B61114" w:rsidRDefault="00431A15" w:rsidP="006B6A51">
      <w:pPr>
        <w:pStyle w:val="Prrafodelista"/>
        <w:numPr>
          <w:ilvl w:val="0"/>
          <w:numId w:val="47"/>
        </w:numPr>
        <w:spacing w:before="480"/>
        <w:ind w:left="357" w:hanging="357"/>
        <w:jc w:val="center"/>
        <w:rPr>
          <w:b/>
          <w:smallCaps/>
          <w:szCs w:val="22"/>
        </w:rPr>
      </w:pPr>
      <w:r w:rsidRPr="00B61114">
        <w:rPr>
          <w:b/>
          <w:smallCaps/>
          <w:szCs w:val="22"/>
        </w:rPr>
        <w:t>cifras desestacionalizadas</w:t>
      </w:r>
      <w:r w:rsidR="00557B4A" w:rsidRPr="00B61114">
        <w:rPr>
          <w:b/>
          <w:bCs/>
          <w:spacing w:val="4"/>
          <w:vertAlign w:val="superscript"/>
        </w:rPr>
        <w:footnoteReference w:id="2"/>
      </w:r>
    </w:p>
    <w:p w14:paraId="55DF2C0D" w14:textId="6B835984" w:rsidR="0007670F" w:rsidRPr="00B61114" w:rsidRDefault="0007670F" w:rsidP="00DF4364">
      <w:pPr>
        <w:widowControl w:val="0"/>
        <w:spacing w:before="240"/>
        <w:ind w:left="284"/>
        <w:rPr>
          <w:b/>
        </w:rPr>
      </w:pPr>
      <w:r w:rsidRPr="00B61114">
        <w:rPr>
          <w:b/>
        </w:rPr>
        <w:t xml:space="preserve">Indicador de </w:t>
      </w:r>
      <w:r w:rsidR="000E2D35">
        <w:rPr>
          <w:b/>
        </w:rPr>
        <w:t>P</w:t>
      </w:r>
      <w:r w:rsidRPr="00B61114">
        <w:rPr>
          <w:b/>
        </w:rPr>
        <w:t xml:space="preserve">edidos </w:t>
      </w:r>
      <w:r w:rsidR="000E2D35">
        <w:rPr>
          <w:b/>
        </w:rPr>
        <w:t>M</w:t>
      </w:r>
      <w:r w:rsidRPr="00B61114">
        <w:rPr>
          <w:b/>
        </w:rPr>
        <w:t>anufactureros por componentes</w:t>
      </w:r>
    </w:p>
    <w:p w14:paraId="0A1737F2" w14:textId="07D577D6" w:rsidR="00B93C69" w:rsidRPr="00B61114" w:rsidRDefault="001A50CE" w:rsidP="00DF4364">
      <w:pPr>
        <w:spacing w:before="240"/>
        <w:rPr>
          <w:lang w:val="es-MX"/>
        </w:rPr>
      </w:pPr>
      <w:r w:rsidRPr="00B61114">
        <w:rPr>
          <w:lang w:val="es-MX"/>
        </w:rPr>
        <w:t>En</w:t>
      </w:r>
      <w:r w:rsidR="00941C4D">
        <w:rPr>
          <w:lang w:val="es-MX"/>
        </w:rPr>
        <w:t xml:space="preserve"> febrero</w:t>
      </w:r>
      <w:r w:rsidR="00CB68BB">
        <w:rPr>
          <w:lang w:val="es-MX"/>
        </w:rPr>
        <w:t xml:space="preserve"> </w:t>
      </w:r>
      <w:r w:rsidR="00937284" w:rsidRPr="00B61114">
        <w:rPr>
          <w:lang w:val="es-MX"/>
        </w:rPr>
        <w:t>de 202</w:t>
      </w:r>
      <w:r w:rsidR="00F90959">
        <w:rPr>
          <w:lang w:val="es-MX"/>
        </w:rPr>
        <w:t>4</w:t>
      </w:r>
      <w:r w:rsidR="00DB3D6D" w:rsidRPr="00B61114">
        <w:rPr>
          <w:lang w:val="es-MX"/>
        </w:rPr>
        <w:t xml:space="preserve"> y con </w:t>
      </w:r>
      <w:r w:rsidR="00941C4D">
        <w:rPr>
          <w:lang w:val="es-MX"/>
        </w:rPr>
        <w:t>datos</w:t>
      </w:r>
      <w:r w:rsidR="00DB3D6D" w:rsidRPr="00B61114">
        <w:rPr>
          <w:lang w:val="es-MX"/>
        </w:rPr>
        <w:t xml:space="preserve"> </w:t>
      </w:r>
      <w:r w:rsidR="00D07EA2" w:rsidRPr="00B61114">
        <w:rPr>
          <w:lang w:val="es-MX"/>
        </w:rPr>
        <w:t>desestacionalizad</w:t>
      </w:r>
      <w:r w:rsidR="00941C4D">
        <w:rPr>
          <w:lang w:val="es-MX"/>
        </w:rPr>
        <w:t>o</w:t>
      </w:r>
      <w:r w:rsidR="00D07EA2" w:rsidRPr="00B61114">
        <w:rPr>
          <w:lang w:val="es-MX"/>
        </w:rPr>
        <w:t>s</w:t>
      </w:r>
      <w:r w:rsidRPr="00B61114">
        <w:rPr>
          <w:lang w:val="es-MX"/>
        </w:rPr>
        <w:t xml:space="preserve">, el </w:t>
      </w:r>
      <w:proofErr w:type="spellStart"/>
      <w:r w:rsidR="00616DD5" w:rsidRPr="00B61114">
        <w:rPr>
          <w:smallCaps/>
          <w:lang w:val="es-MX"/>
        </w:rPr>
        <w:t>ipm</w:t>
      </w:r>
      <w:proofErr w:type="spellEnd"/>
      <w:r w:rsidRPr="00B61114">
        <w:rPr>
          <w:lang w:val="es-MX"/>
        </w:rPr>
        <w:t xml:space="preserve"> </w:t>
      </w:r>
      <w:r w:rsidR="00941C4D">
        <w:rPr>
          <w:lang w:val="es-MX"/>
        </w:rPr>
        <w:t>registró un incremento</w:t>
      </w:r>
      <w:r w:rsidR="00D07EA2" w:rsidRPr="00B61114">
        <w:rPr>
          <w:lang w:val="es-MX"/>
        </w:rPr>
        <w:t xml:space="preserve"> </w:t>
      </w:r>
      <w:r w:rsidR="00937284" w:rsidRPr="00B61114">
        <w:rPr>
          <w:lang w:val="es-MX"/>
        </w:rPr>
        <w:t xml:space="preserve">mensual </w:t>
      </w:r>
      <w:r w:rsidRPr="00B61114">
        <w:rPr>
          <w:lang w:val="es-MX"/>
        </w:rPr>
        <w:t xml:space="preserve">de </w:t>
      </w:r>
      <w:r w:rsidR="00941C4D">
        <w:rPr>
          <w:lang w:val="es-MX"/>
        </w:rPr>
        <w:t>3.19</w:t>
      </w:r>
      <w:r w:rsidRPr="00B61114">
        <w:rPr>
          <w:lang w:val="es-MX"/>
        </w:rPr>
        <w:t xml:space="preserve"> puntos, al </w:t>
      </w:r>
      <w:r w:rsidR="00941C4D">
        <w:rPr>
          <w:lang w:val="es-MX"/>
        </w:rPr>
        <w:t>ubicarse</w:t>
      </w:r>
      <w:r w:rsidRPr="00B61114">
        <w:rPr>
          <w:lang w:val="es-MX"/>
        </w:rPr>
        <w:t xml:space="preserve"> en</w:t>
      </w:r>
      <w:r w:rsidR="00123F4A">
        <w:rPr>
          <w:lang w:val="es-MX"/>
        </w:rPr>
        <w:t xml:space="preserve"> </w:t>
      </w:r>
      <w:r w:rsidR="00F90959">
        <w:rPr>
          <w:lang w:val="es-MX"/>
        </w:rPr>
        <w:t>5</w:t>
      </w:r>
      <w:r w:rsidR="00941C4D">
        <w:rPr>
          <w:lang w:val="es-MX"/>
        </w:rPr>
        <w:t>4</w:t>
      </w:r>
      <w:r w:rsidR="00123F4A">
        <w:rPr>
          <w:lang w:val="es-MX"/>
        </w:rPr>
        <w:t xml:space="preserve"> p</w:t>
      </w:r>
      <w:r w:rsidR="00123F4A" w:rsidRPr="00941C4D">
        <w:rPr>
          <w:lang w:val="es-MX"/>
        </w:rPr>
        <w:t>untos</w:t>
      </w:r>
      <w:r w:rsidR="00894FE5" w:rsidRPr="00941C4D">
        <w:rPr>
          <w:lang w:val="es-MX"/>
        </w:rPr>
        <w:t xml:space="preserve">. </w:t>
      </w:r>
      <w:r w:rsidR="00941C4D" w:rsidRPr="00941C4D">
        <w:rPr>
          <w:spacing w:val="3"/>
          <w:lang w:val="es-MX"/>
        </w:rPr>
        <w:t xml:space="preserve">Así, el </w:t>
      </w:r>
      <w:proofErr w:type="spellStart"/>
      <w:r w:rsidR="00E071D5" w:rsidRPr="00E071D5">
        <w:rPr>
          <w:smallCaps/>
          <w:spacing w:val="3"/>
          <w:lang w:val="es-MX"/>
        </w:rPr>
        <w:t>ipm</w:t>
      </w:r>
      <w:proofErr w:type="spellEnd"/>
      <w:r w:rsidR="00941C4D" w:rsidRPr="00941C4D">
        <w:rPr>
          <w:spacing w:val="3"/>
          <w:lang w:val="es-MX"/>
        </w:rPr>
        <w:t xml:space="preserve"> permaneció por segundo mes consecutivo por arriba del umbral de los 50 puntos</w:t>
      </w:r>
      <w:r w:rsidR="00B93C69" w:rsidRPr="00941C4D">
        <w:rPr>
          <w:lang w:val="es-MX"/>
        </w:rPr>
        <w:t>.</w:t>
      </w:r>
    </w:p>
    <w:p w14:paraId="464F5240" w14:textId="36536F9C" w:rsidR="007F632F" w:rsidRPr="00B61114" w:rsidRDefault="007F632F" w:rsidP="00DF4364">
      <w:pPr>
        <w:widowControl w:val="0"/>
        <w:spacing w:before="240"/>
        <w:jc w:val="center"/>
        <w:outlineLvl w:val="0"/>
        <w:rPr>
          <w:bCs/>
          <w:kern w:val="32"/>
          <w:sz w:val="20"/>
        </w:rPr>
      </w:pPr>
      <w:r w:rsidRPr="00B61114">
        <w:rPr>
          <w:bCs/>
          <w:kern w:val="32"/>
          <w:sz w:val="20"/>
        </w:rPr>
        <w:t>Gráfica 1</w:t>
      </w:r>
    </w:p>
    <w:p w14:paraId="2B054E9E" w14:textId="748DFF2C" w:rsidR="00616DD5" w:rsidRPr="00B61114" w:rsidRDefault="00431A15" w:rsidP="007F632F">
      <w:pPr>
        <w:widowControl w:val="0"/>
        <w:jc w:val="center"/>
        <w:outlineLvl w:val="0"/>
        <w:rPr>
          <w:b/>
          <w:bCs/>
          <w:smallCaps/>
          <w:kern w:val="32"/>
          <w:sz w:val="22"/>
        </w:rPr>
      </w:pPr>
      <w:r w:rsidRPr="00B61114">
        <w:rPr>
          <w:b/>
          <w:smallCaps/>
          <w:sz w:val="22"/>
        </w:rPr>
        <w:t>serie desestacionalizada y de tendencia-ciclo</w:t>
      </w:r>
      <w:r w:rsidR="00580BC4" w:rsidRPr="00580BC4">
        <w:rPr>
          <w:b/>
          <w:bCs/>
          <w:spacing w:val="4"/>
          <w:sz w:val="22"/>
          <w:szCs w:val="22"/>
          <w:vertAlign w:val="superscript"/>
        </w:rPr>
        <w:footnoteReference w:id="3"/>
      </w:r>
    </w:p>
    <w:p w14:paraId="38828A7D" w14:textId="5C6A3E44" w:rsidR="00F63B05" w:rsidRPr="00B61114" w:rsidRDefault="00431A15" w:rsidP="007F632F">
      <w:pPr>
        <w:widowControl w:val="0"/>
        <w:jc w:val="center"/>
        <w:outlineLvl w:val="0"/>
        <w:rPr>
          <w:b/>
          <w:bCs/>
          <w:smallCaps/>
          <w:kern w:val="32"/>
          <w:sz w:val="22"/>
        </w:rPr>
      </w:pPr>
      <w:r w:rsidRPr="00B61114">
        <w:rPr>
          <w:b/>
          <w:bCs/>
          <w:smallCaps/>
          <w:kern w:val="32"/>
          <w:sz w:val="22"/>
        </w:rPr>
        <w:t>del indicador de pedidos manufactureros</w:t>
      </w:r>
    </w:p>
    <w:p w14:paraId="1789EA96" w14:textId="5E22EF75" w:rsidR="00616DD5" w:rsidRPr="00B61114" w:rsidRDefault="00616DD5" w:rsidP="00616DD5">
      <w:pPr>
        <w:jc w:val="center"/>
        <w:rPr>
          <w:bCs/>
          <w:sz w:val="20"/>
          <w:szCs w:val="20"/>
        </w:rPr>
      </w:pPr>
      <w:r w:rsidRPr="00B61114">
        <w:rPr>
          <w:bCs/>
          <w:sz w:val="20"/>
          <w:szCs w:val="20"/>
        </w:rPr>
        <w:t xml:space="preserve">a </w:t>
      </w:r>
      <w:r w:rsidR="00431A15">
        <w:rPr>
          <w:bCs/>
          <w:sz w:val="20"/>
          <w:szCs w:val="20"/>
        </w:rPr>
        <w:t>febrero</w:t>
      </w:r>
      <w:r w:rsidRPr="00B61114">
        <w:rPr>
          <w:bCs/>
          <w:sz w:val="20"/>
          <w:szCs w:val="20"/>
        </w:rPr>
        <w:t xml:space="preserve"> de 202</w:t>
      </w:r>
      <w:r w:rsidR="00F633B1">
        <w:rPr>
          <w:bCs/>
          <w:sz w:val="20"/>
          <w:szCs w:val="20"/>
        </w:rPr>
        <w:t>4</w:t>
      </w:r>
    </w:p>
    <w:p w14:paraId="073A5979" w14:textId="0C3F2FB4" w:rsidR="0007670F" w:rsidRPr="00B61114" w:rsidRDefault="00F63B05" w:rsidP="007F632F">
      <w:pPr>
        <w:widowControl w:val="0"/>
        <w:jc w:val="center"/>
        <w:outlineLvl w:val="0"/>
        <w:rPr>
          <w:b/>
          <w:bCs/>
          <w:smallCaps/>
          <w:kern w:val="32"/>
          <w:sz w:val="22"/>
        </w:rPr>
      </w:pPr>
      <w:r w:rsidRPr="00B61114">
        <w:rPr>
          <w:kern w:val="32"/>
          <w:sz w:val="18"/>
          <w:szCs w:val="18"/>
        </w:rPr>
        <w:t>(</w:t>
      </w:r>
      <w:r w:rsidR="00616DD5" w:rsidRPr="00B61114">
        <w:rPr>
          <w:kern w:val="32"/>
          <w:sz w:val="18"/>
          <w:szCs w:val="18"/>
        </w:rPr>
        <w:t>p</w:t>
      </w:r>
      <w:r w:rsidRPr="00B61114">
        <w:rPr>
          <w:kern w:val="32"/>
          <w:sz w:val="18"/>
          <w:szCs w:val="18"/>
        </w:rPr>
        <w:t>untos)</w:t>
      </w:r>
      <w:r w:rsidR="0007670F" w:rsidRPr="00B61114">
        <w:rPr>
          <w:b/>
          <w:bCs/>
          <w:smallCaps/>
          <w:kern w:val="32"/>
          <w:sz w:val="22"/>
        </w:rPr>
        <w:t xml:space="preserve"> </w:t>
      </w:r>
    </w:p>
    <w:p w14:paraId="0372A59D" w14:textId="0B5EEF23" w:rsidR="00537DFB" w:rsidRPr="00B61114" w:rsidRDefault="00ED6D2A" w:rsidP="0019515D">
      <w:pPr>
        <w:widowControl w:val="0"/>
        <w:spacing w:after="10"/>
        <w:jc w:val="center"/>
        <w:outlineLvl w:val="0"/>
        <w:rPr>
          <w:b/>
          <w:bCs/>
          <w:smallCaps/>
          <w:kern w:val="32"/>
        </w:rPr>
      </w:pPr>
      <w:r>
        <w:rPr>
          <w:noProof/>
        </w:rPr>
        <w:drawing>
          <wp:inline distT="0" distB="0" distL="0" distR="0" wp14:anchorId="5408BB13" wp14:editId="57DD70A5">
            <wp:extent cx="5400000" cy="2700000"/>
            <wp:effectExtent l="0" t="0" r="10795" b="5715"/>
            <wp:docPr id="1508155382"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794A3B" w14:textId="31689BE6" w:rsidR="00AB6F59" w:rsidRPr="0042219B" w:rsidRDefault="00AB6F59" w:rsidP="00F93646">
      <w:pPr>
        <w:widowControl w:val="0"/>
        <w:spacing w:before="20"/>
        <w:ind w:left="1134" w:right="1610" w:hanging="283"/>
        <w:outlineLvl w:val="0"/>
        <w:rPr>
          <w:b/>
          <w:bCs/>
          <w:smallCaps/>
          <w:spacing w:val="-4"/>
          <w:kern w:val="32"/>
          <w:sz w:val="16"/>
          <w:szCs w:val="16"/>
        </w:rPr>
      </w:pPr>
      <w:r w:rsidRPr="0042219B">
        <w:rPr>
          <w:spacing w:val="-4"/>
          <w:sz w:val="16"/>
          <w:szCs w:val="16"/>
        </w:rPr>
        <w:t xml:space="preserve">Fuente: </w:t>
      </w:r>
      <w:r w:rsidR="00616DD5" w:rsidRPr="0042219B">
        <w:rPr>
          <w:smallCaps/>
          <w:spacing w:val="-4"/>
          <w:sz w:val="16"/>
          <w:szCs w:val="16"/>
        </w:rPr>
        <w:t>inegi</w:t>
      </w:r>
      <w:r w:rsidR="00F63B05" w:rsidRPr="0042219B">
        <w:rPr>
          <w:spacing w:val="-4"/>
          <w:sz w:val="16"/>
          <w:szCs w:val="16"/>
        </w:rPr>
        <w:t xml:space="preserve"> </w:t>
      </w:r>
      <w:r w:rsidRPr="0042219B">
        <w:rPr>
          <w:spacing w:val="-4"/>
          <w:sz w:val="16"/>
          <w:szCs w:val="16"/>
        </w:rPr>
        <w:t>y Banco de México</w:t>
      </w:r>
      <w:r w:rsidR="00F63B05" w:rsidRPr="0042219B">
        <w:rPr>
          <w:spacing w:val="-4"/>
          <w:sz w:val="16"/>
          <w:szCs w:val="16"/>
        </w:rPr>
        <w:t xml:space="preserve">. </w:t>
      </w:r>
      <w:proofErr w:type="spellStart"/>
      <w:r w:rsidR="00616DD5" w:rsidRPr="0042219B">
        <w:rPr>
          <w:smallCaps/>
          <w:spacing w:val="-4"/>
          <w:sz w:val="16"/>
          <w:szCs w:val="16"/>
        </w:rPr>
        <w:t>emoe</w:t>
      </w:r>
      <w:proofErr w:type="spellEnd"/>
      <w:r w:rsidR="00F63B05" w:rsidRPr="0042219B">
        <w:rPr>
          <w:spacing w:val="-4"/>
          <w:sz w:val="16"/>
          <w:szCs w:val="16"/>
        </w:rPr>
        <w:t>.</w:t>
      </w:r>
      <w:r w:rsidR="00616DD5" w:rsidRPr="0042219B">
        <w:rPr>
          <w:spacing w:val="-4"/>
          <w:sz w:val="16"/>
          <w:szCs w:val="16"/>
        </w:rPr>
        <w:t xml:space="preserve"> </w:t>
      </w:r>
      <w:r w:rsidR="00616DD5" w:rsidRPr="0042219B">
        <w:rPr>
          <w:spacing w:val="-4"/>
          <w:sz w:val="16"/>
          <w:szCs w:val="14"/>
        </w:rPr>
        <w:t>Series elaboradas mediante métodos econométricos, 202</w:t>
      </w:r>
      <w:r w:rsidR="0030429B">
        <w:rPr>
          <w:spacing w:val="-4"/>
          <w:sz w:val="16"/>
          <w:szCs w:val="14"/>
        </w:rPr>
        <w:t>4</w:t>
      </w:r>
      <w:r w:rsidR="00616DD5" w:rsidRPr="0042219B">
        <w:rPr>
          <w:spacing w:val="-4"/>
          <w:sz w:val="16"/>
          <w:szCs w:val="14"/>
        </w:rPr>
        <w:t>.</w:t>
      </w:r>
    </w:p>
    <w:p w14:paraId="31787C23" w14:textId="77777777" w:rsidR="00DF4364" w:rsidRPr="00B61114" w:rsidRDefault="00DF4364">
      <w:pPr>
        <w:jc w:val="left"/>
        <w:rPr>
          <w:spacing w:val="3"/>
          <w:lang w:val="es-MX"/>
        </w:rPr>
      </w:pPr>
      <w:r w:rsidRPr="00B61114">
        <w:rPr>
          <w:spacing w:val="3"/>
          <w:lang w:val="es-MX"/>
        </w:rPr>
        <w:br w:type="page"/>
      </w:r>
    </w:p>
    <w:p w14:paraId="6A257FD8" w14:textId="77777777" w:rsidR="00A64511" w:rsidRDefault="00A64511" w:rsidP="001746C4">
      <w:pPr>
        <w:widowControl w:val="0"/>
        <w:tabs>
          <w:tab w:val="left" w:pos="708"/>
          <w:tab w:val="center" w:pos="3348"/>
        </w:tabs>
        <w:spacing w:before="80"/>
        <w:rPr>
          <w:spacing w:val="3"/>
          <w:lang w:val="es-MX"/>
        </w:rPr>
      </w:pPr>
    </w:p>
    <w:p w14:paraId="2D8519F1" w14:textId="1A19C84A" w:rsidR="00CF4BCC" w:rsidRPr="00B61114" w:rsidRDefault="00F90959" w:rsidP="001746C4">
      <w:pPr>
        <w:widowControl w:val="0"/>
        <w:tabs>
          <w:tab w:val="left" w:pos="708"/>
          <w:tab w:val="center" w:pos="3348"/>
        </w:tabs>
        <w:spacing w:before="80"/>
        <w:rPr>
          <w:spacing w:val="3"/>
          <w:lang w:val="es-MX"/>
        </w:rPr>
      </w:pPr>
      <w:r>
        <w:rPr>
          <w:spacing w:val="3"/>
          <w:lang w:val="es-MX"/>
        </w:rPr>
        <w:t xml:space="preserve">En </w:t>
      </w:r>
      <w:r w:rsidR="00EC5C91">
        <w:rPr>
          <w:spacing w:val="3"/>
          <w:lang w:val="es-MX"/>
        </w:rPr>
        <w:t>febrero pasado</w:t>
      </w:r>
      <w:r>
        <w:rPr>
          <w:spacing w:val="3"/>
          <w:lang w:val="es-MX"/>
        </w:rPr>
        <w:t xml:space="preserve"> y c</w:t>
      </w:r>
      <w:r w:rsidR="000C3141" w:rsidRPr="00B61114">
        <w:rPr>
          <w:spacing w:val="3"/>
          <w:lang w:val="es-MX"/>
        </w:rPr>
        <w:t xml:space="preserve">on </w:t>
      </w:r>
      <w:r w:rsidR="00EC5C91">
        <w:rPr>
          <w:spacing w:val="3"/>
          <w:lang w:val="es-MX"/>
        </w:rPr>
        <w:t>cifras desestacionalizadas</w:t>
      </w:r>
      <w:r>
        <w:rPr>
          <w:spacing w:val="3"/>
          <w:lang w:val="es-MX"/>
        </w:rPr>
        <w:t xml:space="preserve">, </w:t>
      </w:r>
      <w:r w:rsidR="001A50CE" w:rsidRPr="00B61114">
        <w:rPr>
          <w:spacing w:val="3"/>
          <w:lang w:val="es-MX"/>
        </w:rPr>
        <w:t xml:space="preserve">el componente del </w:t>
      </w:r>
      <w:proofErr w:type="spellStart"/>
      <w:r w:rsidR="009953CE" w:rsidRPr="00B61114">
        <w:rPr>
          <w:smallCaps/>
          <w:spacing w:val="3"/>
          <w:lang w:val="es-MX"/>
        </w:rPr>
        <w:t>ipm</w:t>
      </w:r>
      <w:proofErr w:type="spellEnd"/>
      <w:r w:rsidR="001A50CE" w:rsidRPr="00B61114">
        <w:rPr>
          <w:spacing w:val="3"/>
          <w:lang w:val="es-MX"/>
        </w:rPr>
        <w:t xml:space="preserve"> </w:t>
      </w:r>
      <w:r w:rsidR="001C2619">
        <w:rPr>
          <w:spacing w:val="3"/>
          <w:lang w:val="es-MX"/>
        </w:rPr>
        <w:t>re</w:t>
      </w:r>
      <w:r w:rsidR="00EC5C91">
        <w:rPr>
          <w:spacing w:val="3"/>
          <w:lang w:val="es-MX"/>
        </w:rPr>
        <w:t>lativo</w:t>
      </w:r>
      <w:r w:rsidR="001A50CE" w:rsidRPr="00B61114">
        <w:rPr>
          <w:spacing w:val="3"/>
          <w:lang w:val="es-MX"/>
        </w:rPr>
        <w:t xml:space="preserve"> al volumen esperado de pedidos </w:t>
      </w:r>
      <w:r w:rsidR="001C2619">
        <w:rPr>
          <w:spacing w:val="3"/>
          <w:lang w:val="es-MX"/>
        </w:rPr>
        <w:t xml:space="preserve">registró un </w:t>
      </w:r>
      <w:r w:rsidR="00EC5C91">
        <w:rPr>
          <w:spacing w:val="3"/>
          <w:lang w:val="es-MX"/>
        </w:rPr>
        <w:t>aumento</w:t>
      </w:r>
      <w:r w:rsidR="00F736B9" w:rsidRPr="00CF0F39">
        <w:rPr>
          <w:spacing w:val="3"/>
          <w:lang w:val="es-MX"/>
        </w:rPr>
        <w:t xml:space="preserve"> mensual de</w:t>
      </w:r>
      <w:r w:rsidR="00F736B9" w:rsidRPr="00B61114">
        <w:rPr>
          <w:spacing w:val="3"/>
          <w:lang w:val="es-MX"/>
        </w:rPr>
        <w:t xml:space="preserve"> </w:t>
      </w:r>
      <w:r>
        <w:rPr>
          <w:spacing w:val="3"/>
          <w:lang w:val="es-MX"/>
        </w:rPr>
        <w:t>4.</w:t>
      </w:r>
      <w:r w:rsidR="00EC5C91">
        <w:rPr>
          <w:spacing w:val="3"/>
          <w:lang w:val="es-MX"/>
        </w:rPr>
        <w:t>26</w:t>
      </w:r>
      <w:r w:rsidR="00F736B9">
        <w:rPr>
          <w:spacing w:val="3"/>
          <w:lang w:val="es-MX"/>
        </w:rPr>
        <w:t xml:space="preserve"> puntos</w:t>
      </w:r>
      <w:r w:rsidR="001F1C2F">
        <w:rPr>
          <w:spacing w:val="3"/>
          <w:lang w:val="es-MX"/>
        </w:rPr>
        <w:t>.</w:t>
      </w:r>
      <w:r w:rsidR="009406F1">
        <w:rPr>
          <w:spacing w:val="3"/>
          <w:lang w:val="es-MX"/>
        </w:rPr>
        <w:t xml:space="preserve"> </w:t>
      </w:r>
      <w:r w:rsidR="001F1C2F">
        <w:rPr>
          <w:spacing w:val="3"/>
          <w:lang w:val="es-MX"/>
        </w:rPr>
        <w:t>E</w:t>
      </w:r>
      <w:r w:rsidR="001A50CE" w:rsidRPr="00B61114">
        <w:rPr>
          <w:spacing w:val="3"/>
          <w:lang w:val="es-MX"/>
        </w:rPr>
        <w:t>l del volumen esperado de la producción</w:t>
      </w:r>
      <w:r w:rsidR="001F1C2F">
        <w:rPr>
          <w:spacing w:val="3"/>
          <w:lang w:val="es-MX"/>
        </w:rPr>
        <w:t xml:space="preserve"> subió</w:t>
      </w:r>
      <w:r w:rsidR="00415E73" w:rsidRPr="00B61114">
        <w:rPr>
          <w:spacing w:val="3"/>
          <w:lang w:val="es-MX"/>
        </w:rPr>
        <w:t xml:space="preserve"> </w:t>
      </w:r>
      <w:r w:rsidR="004854AD">
        <w:rPr>
          <w:spacing w:val="3"/>
          <w:lang w:val="es-MX"/>
        </w:rPr>
        <w:t>6.06</w:t>
      </w:r>
      <w:r w:rsidR="001A50CE" w:rsidRPr="00B61114">
        <w:rPr>
          <w:spacing w:val="3"/>
          <w:lang w:val="es-MX"/>
        </w:rPr>
        <w:t xml:space="preserve"> puntos</w:t>
      </w:r>
      <w:r w:rsidR="009406F1">
        <w:rPr>
          <w:spacing w:val="3"/>
          <w:lang w:val="es-MX"/>
        </w:rPr>
        <w:t>.</w:t>
      </w:r>
      <w:r>
        <w:rPr>
          <w:spacing w:val="3"/>
          <w:lang w:val="es-MX"/>
        </w:rPr>
        <w:t xml:space="preserve"> </w:t>
      </w:r>
      <w:r w:rsidR="009406F1">
        <w:rPr>
          <w:spacing w:val="3"/>
          <w:lang w:val="es-MX"/>
        </w:rPr>
        <w:t>E</w:t>
      </w:r>
      <w:r w:rsidR="001A50CE" w:rsidRPr="00B61114">
        <w:rPr>
          <w:spacing w:val="3"/>
          <w:lang w:val="es-MX"/>
        </w:rPr>
        <w:t>l del nivel esperado del personal ocupado</w:t>
      </w:r>
      <w:r w:rsidR="009406F1">
        <w:rPr>
          <w:spacing w:val="3"/>
          <w:lang w:val="es-MX"/>
        </w:rPr>
        <w:t xml:space="preserve"> </w:t>
      </w:r>
      <w:r w:rsidR="004854AD">
        <w:rPr>
          <w:spacing w:val="3"/>
          <w:lang w:val="es-MX"/>
        </w:rPr>
        <w:t>incrementó</w:t>
      </w:r>
      <w:r w:rsidR="00A06211">
        <w:rPr>
          <w:spacing w:val="3"/>
          <w:lang w:val="es-MX"/>
        </w:rPr>
        <w:t xml:space="preserve"> </w:t>
      </w:r>
      <w:r w:rsidR="00415E73" w:rsidRPr="00B61114">
        <w:rPr>
          <w:spacing w:val="3"/>
          <w:lang w:val="es-MX"/>
        </w:rPr>
        <w:t>0</w:t>
      </w:r>
      <w:r>
        <w:rPr>
          <w:spacing w:val="3"/>
          <w:lang w:val="es-MX"/>
        </w:rPr>
        <w:t>.</w:t>
      </w:r>
      <w:r w:rsidR="004854AD">
        <w:rPr>
          <w:spacing w:val="3"/>
          <w:lang w:val="es-MX"/>
        </w:rPr>
        <w:t>97</w:t>
      </w:r>
      <w:r w:rsidR="00415E73" w:rsidRPr="00B61114">
        <w:rPr>
          <w:spacing w:val="3"/>
          <w:lang w:val="es-MX"/>
        </w:rPr>
        <w:t xml:space="preserve"> </w:t>
      </w:r>
      <w:r w:rsidR="001A50CE" w:rsidRPr="00B61114">
        <w:rPr>
          <w:spacing w:val="3"/>
          <w:lang w:val="es-MX"/>
        </w:rPr>
        <w:t>puntos</w:t>
      </w:r>
      <w:r w:rsidR="009406F1">
        <w:rPr>
          <w:spacing w:val="3"/>
          <w:lang w:val="es-MX"/>
        </w:rPr>
        <w:t>.</w:t>
      </w:r>
      <w:r>
        <w:rPr>
          <w:spacing w:val="3"/>
          <w:lang w:val="es-MX"/>
        </w:rPr>
        <w:t xml:space="preserve"> </w:t>
      </w:r>
      <w:r w:rsidR="009406F1">
        <w:rPr>
          <w:spacing w:val="3"/>
          <w:lang w:val="es-MX"/>
        </w:rPr>
        <w:t>E</w:t>
      </w:r>
      <w:r w:rsidR="001A50CE" w:rsidRPr="00B61114">
        <w:rPr>
          <w:spacing w:val="3"/>
          <w:lang w:val="es-MX"/>
        </w:rPr>
        <w:t xml:space="preserve">l de la oportunidad en la entrega de insumos por parte de </w:t>
      </w:r>
      <w:r w:rsidR="00DB3D6D" w:rsidRPr="00B61114">
        <w:rPr>
          <w:spacing w:val="3"/>
          <w:lang w:val="es-MX"/>
        </w:rPr>
        <w:t xml:space="preserve">las y </w:t>
      </w:r>
      <w:r w:rsidR="001A50CE" w:rsidRPr="00B61114">
        <w:rPr>
          <w:spacing w:val="3"/>
          <w:lang w:val="es-MX"/>
        </w:rPr>
        <w:t>los proveedores</w:t>
      </w:r>
      <w:r w:rsidR="009406F1">
        <w:rPr>
          <w:spacing w:val="3"/>
          <w:lang w:val="es-MX"/>
        </w:rPr>
        <w:t xml:space="preserve"> creció </w:t>
      </w:r>
      <w:r w:rsidR="001A50CE" w:rsidRPr="00B61114">
        <w:rPr>
          <w:spacing w:val="3"/>
          <w:lang w:val="es-MX"/>
        </w:rPr>
        <w:t>0</w:t>
      </w:r>
      <w:r w:rsidR="00A6643C">
        <w:rPr>
          <w:spacing w:val="3"/>
          <w:lang w:val="es-MX"/>
        </w:rPr>
        <w:t>.3</w:t>
      </w:r>
      <w:r w:rsidR="004854AD">
        <w:rPr>
          <w:spacing w:val="3"/>
          <w:lang w:val="es-MX"/>
        </w:rPr>
        <w:t>4</w:t>
      </w:r>
      <w:r w:rsidR="001A50CE" w:rsidRPr="00B61114">
        <w:rPr>
          <w:spacing w:val="3"/>
          <w:lang w:val="es-MX"/>
        </w:rPr>
        <w:t xml:space="preserve"> puntos</w:t>
      </w:r>
      <w:r w:rsidR="004854AD">
        <w:rPr>
          <w:spacing w:val="3"/>
          <w:lang w:val="es-MX"/>
        </w:rPr>
        <w:t xml:space="preserve"> y e</w:t>
      </w:r>
      <w:r w:rsidR="001A50CE" w:rsidRPr="00B61114">
        <w:rPr>
          <w:spacing w:val="3"/>
          <w:lang w:val="es-MX"/>
        </w:rPr>
        <w:t>l</w:t>
      </w:r>
      <w:r w:rsidR="00DB5F11">
        <w:rPr>
          <w:spacing w:val="3"/>
          <w:lang w:val="es-MX"/>
        </w:rPr>
        <w:t xml:space="preserve"> componente</w:t>
      </w:r>
      <w:r w:rsidR="001A50CE" w:rsidRPr="00B61114">
        <w:rPr>
          <w:spacing w:val="3"/>
          <w:lang w:val="es-MX"/>
        </w:rPr>
        <w:t xml:space="preserve"> de inventarios de insumos</w:t>
      </w:r>
      <w:r w:rsidR="004854AD">
        <w:rPr>
          <w:spacing w:val="3"/>
          <w:lang w:val="es-MX"/>
        </w:rPr>
        <w:t>,</w:t>
      </w:r>
      <w:r w:rsidR="00C45526" w:rsidRPr="00B61114">
        <w:rPr>
          <w:spacing w:val="3"/>
          <w:lang w:val="es-MX"/>
        </w:rPr>
        <w:t xml:space="preserve"> </w:t>
      </w:r>
      <w:r w:rsidR="004854AD">
        <w:rPr>
          <w:spacing w:val="3"/>
          <w:lang w:val="es-MX"/>
        </w:rPr>
        <w:t>1.3</w:t>
      </w:r>
      <w:r>
        <w:rPr>
          <w:spacing w:val="3"/>
          <w:lang w:val="es-MX"/>
        </w:rPr>
        <w:t>7</w:t>
      </w:r>
      <w:r w:rsidR="00AB6489">
        <w:rPr>
          <w:spacing w:val="3"/>
          <w:lang w:val="es-MX"/>
        </w:rPr>
        <w:t xml:space="preserve"> </w:t>
      </w:r>
      <w:r w:rsidR="001A50CE" w:rsidRPr="00B61114">
        <w:rPr>
          <w:spacing w:val="3"/>
          <w:lang w:val="es-MX"/>
        </w:rPr>
        <w:t>puntos.</w:t>
      </w:r>
    </w:p>
    <w:p w14:paraId="18E4556F" w14:textId="77777777" w:rsidR="00A64511" w:rsidRDefault="00A64511" w:rsidP="00DF4364">
      <w:pPr>
        <w:spacing w:before="240"/>
        <w:jc w:val="center"/>
        <w:outlineLvl w:val="0"/>
        <w:rPr>
          <w:sz w:val="20"/>
        </w:rPr>
      </w:pPr>
    </w:p>
    <w:p w14:paraId="2F1E7A81" w14:textId="6A59FA4D" w:rsidR="007F632F" w:rsidRPr="00B61114" w:rsidRDefault="007F632F" w:rsidP="00DF4364">
      <w:pPr>
        <w:spacing w:before="240"/>
        <w:jc w:val="center"/>
        <w:outlineLvl w:val="0"/>
        <w:rPr>
          <w:sz w:val="20"/>
        </w:rPr>
      </w:pPr>
      <w:r w:rsidRPr="00B61114">
        <w:rPr>
          <w:sz w:val="20"/>
        </w:rPr>
        <w:t>Cuadro 1</w:t>
      </w:r>
    </w:p>
    <w:p w14:paraId="3F954A38" w14:textId="565C6401" w:rsidR="0007670F" w:rsidRPr="00B61114" w:rsidRDefault="00431A15" w:rsidP="00AF3DBB">
      <w:pPr>
        <w:jc w:val="center"/>
        <w:outlineLvl w:val="0"/>
        <w:rPr>
          <w:b/>
          <w:smallCaps/>
          <w:sz w:val="22"/>
        </w:rPr>
      </w:pPr>
      <w:r w:rsidRPr="00B61114">
        <w:rPr>
          <w:b/>
          <w:smallCaps/>
          <w:sz w:val="22"/>
        </w:rPr>
        <w:t>indicador de pedidos manufactureros y sus componentes</w:t>
      </w:r>
    </w:p>
    <w:p w14:paraId="5D4D2AE5" w14:textId="67CDFE1B" w:rsidR="0007670F" w:rsidRPr="00B61114" w:rsidRDefault="007F632F" w:rsidP="00AF3DBB">
      <w:pPr>
        <w:jc w:val="center"/>
        <w:outlineLvl w:val="0"/>
        <w:rPr>
          <w:b/>
          <w:smallCaps/>
          <w:sz w:val="20"/>
          <w:szCs w:val="20"/>
        </w:rPr>
      </w:pPr>
      <w:r w:rsidRPr="00B61114">
        <w:rPr>
          <w:b/>
          <w:smallCaps/>
          <w:sz w:val="20"/>
          <w:szCs w:val="20"/>
        </w:rPr>
        <w:t>c</w:t>
      </w:r>
      <w:r w:rsidR="0007670F" w:rsidRPr="00B61114">
        <w:rPr>
          <w:b/>
          <w:smallCaps/>
          <w:sz w:val="20"/>
          <w:szCs w:val="20"/>
        </w:rPr>
        <w:t>ifras desestacionalizadas</w:t>
      </w:r>
    </w:p>
    <w:p w14:paraId="00CDD67F" w14:textId="25EF867C" w:rsidR="009953CE" w:rsidRPr="00B61114" w:rsidRDefault="0030429B" w:rsidP="009953CE">
      <w:pPr>
        <w:keepNext/>
        <w:keepLines/>
        <w:widowControl w:val="0"/>
        <w:jc w:val="center"/>
        <w:outlineLvl w:val="0"/>
        <w:rPr>
          <w:bCs/>
          <w:sz w:val="20"/>
          <w:szCs w:val="20"/>
        </w:rPr>
      </w:pPr>
      <w:r>
        <w:rPr>
          <w:bCs/>
          <w:sz w:val="20"/>
          <w:szCs w:val="20"/>
        </w:rPr>
        <w:t>enero</w:t>
      </w:r>
      <w:r w:rsidR="00431A15">
        <w:rPr>
          <w:bCs/>
          <w:sz w:val="20"/>
          <w:szCs w:val="20"/>
        </w:rPr>
        <w:t xml:space="preserve"> y febrero</w:t>
      </w:r>
      <w:r w:rsidR="009953CE" w:rsidRPr="00B61114">
        <w:rPr>
          <w:bCs/>
          <w:sz w:val="20"/>
          <w:szCs w:val="20"/>
        </w:rPr>
        <w:t xml:space="preserve"> de 202</w:t>
      </w:r>
      <w:r>
        <w:rPr>
          <w:bCs/>
          <w:sz w:val="20"/>
          <w:szCs w:val="20"/>
        </w:rPr>
        <w:t>4</w:t>
      </w:r>
    </w:p>
    <w:tbl>
      <w:tblPr>
        <w:tblW w:w="5000" w:type="pct"/>
        <w:jc w:val="center"/>
        <w:tblLayout w:type="fixed"/>
        <w:tblCellMar>
          <w:left w:w="70" w:type="dxa"/>
          <w:right w:w="70" w:type="dxa"/>
        </w:tblCellMar>
        <w:tblLook w:val="0000" w:firstRow="0" w:lastRow="0" w:firstColumn="0" w:lastColumn="0" w:noHBand="0" w:noVBand="0"/>
      </w:tblPr>
      <w:tblGrid>
        <w:gridCol w:w="5264"/>
        <w:gridCol w:w="997"/>
        <w:gridCol w:w="997"/>
        <w:gridCol w:w="997"/>
        <w:gridCol w:w="470"/>
        <w:gridCol w:w="1239"/>
      </w:tblGrid>
      <w:tr w:rsidR="005B0949" w:rsidRPr="00B61114" w14:paraId="5F8972AA" w14:textId="77777777" w:rsidTr="00EB256A">
        <w:trPr>
          <w:cantSplit/>
          <w:trHeight w:val="624"/>
          <w:jc w:val="center"/>
        </w:trPr>
        <w:tc>
          <w:tcPr>
            <w:tcW w:w="52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4738A40" w14:textId="25C7801A" w:rsidR="00FB2B2D" w:rsidRPr="00B61114" w:rsidRDefault="00FB2B2D" w:rsidP="004C7BCD">
            <w:pPr>
              <w:spacing w:before="60" w:after="60" w:line="240" w:lineRule="atLeast"/>
              <w:jc w:val="left"/>
              <w:rPr>
                <w:sz w:val="18"/>
                <w:szCs w:val="18"/>
              </w:rPr>
            </w:pPr>
            <w:r w:rsidRPr="00B61114">
              <w:rPr>
                <w:sz w:val="18"/>
                <w:szCs w:val="18"/>
              </w:rPr>
              <w:t>Indicador</w:t>
            </w:r>
            <w:r w:rsidR="0041612A" w:rsidRPr="00B61114">
              <w:rPr>
                <w:sz w:val="18"/>
                <w:szCs w:val="18"/>
              </w:rPr>
              <w:t xml:space="preserve"> y componentes</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F8BAB25" w14:textId="6F0B02CB" w:rsidR="00FB2B2D" w:rsidRPr="00B61114" w:rsidRDefault="00431A15" w:rsidP="00AF3DBB">
            <w:pPr>
              <w:spacing w:line="240" w:lineRule="atLeast"/>
              <w:ind w:left="-55" w:right="-54"/>
              <w:jc w:val="center"/>
              <w:rPr>
                <w:sz w:val="18"/>
                <w:szCs w:val="18"/>
              </w:rPr>
            </w:pPr>
            <w:r>
              <w:rPr>
                <w:sz w:val="18"/>
                <w:szCs w:val="18"/>
              </w:rPr>
              <w:t>Enero</w:t>
            </w:r>
            <w:r w:rsidR="00FB2B2D" w:rsidRPr="00B61114">
              <w:rPr>
                <w:sz w:val="18"/>
                <w:szCs w:val="18"/>
              </w:rPr>
              <w:br/>
              <w:t xml:space="preserve">de </w:t>
            </w:r>
            <w:r w:rsidR="0086235D" w:rsidRPr="00B61114">
              <w:rPr>
                <w:sz w:val="18"/>
                <w:szCs w:val="18"/>
              </w:rPr>
              <w:t>20</w:t>
            </w:r>
            <w:r w:rsidR="00C074F1" w:rsidRPr="00B61114">
              <w:rPr>
                <w:sz w:val="18"/>
                <w:szCs w:val="18"/>
              </w:rPr>
              <w:t>2</w:t>
            </w:r>
            <w:r>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C316183" w14:textId="6C6671FB" w:rsidR="00FB2B2D" w:rsidRPr="00B61114" w:rsidRDefault="00431A15" w:rsidP="00AF3DBB">
            <w:pPr>
              <w:spacing w:line="240" w:lineRule="atLeast"/>
              <w:ind w:left="-70" w:right="-57"/>
              <w:jc w:val="center"/>
              <w:rPr>
                <w:sz w:val="18"/>
                <w:szCs w:val="18"/>
              </w:rPr>
            </w:pPr>
            <w:r>
              <w:rPr>
                <w:sz w:val="18"/>
                <w:szCs w:val="18"/>
              </w:rPr>
              <w:t>Febrero</w:t>
            </w:r>
            <w:r w:rsidR="00A90459" w:rsidRPr="00B61114">
              <w:rPr>
                <w:sz w:val="18"/>
                <w:szCs w:val="18"/>
              </w:rPr>
              <w:t xml:space="preserve"> </w:t>
            </w:r>
            <w:r w:rsidR="00C643D2" w:rsidRPr="00B61114">
              <w:rPr>
                <w:sz w:val="18"/>
                <w:szCs w:val="18"/>
              </w:rPr>
              <w:br/>
            </w:r>
            <w:r w:rsidR="00FB2B2D" w:rsidRPr="00B61114">
              <w:rPr>
                <w:sz w:val="18"/>
                <w:szCs w:val="18"/>
              </w:rPr>
              <w:t xml:space="preserve">de </w:t>
            </w:r>
            <w:r w:rsidR="007F632F" w:rsidRPr="00B61114">
              <w:rPr>
                <w:sz w:val="18"/>
                <w:szCs w:val="18"/>
              </w:rPr>
              <w:t>202</w:t>
            </w:r>
            <w:r w:rsidR="0030429B">
              <w:rPr>
                <w:sz w:val="18"/>
                <w:szCs w:val="18"/>
              </w:rPr>
              <w:t>4</w:t>
            </w:r>
          </w:p>
        </w:tc>
        <w:tc>
          <w:tcPr>
            <w:tcW w:w="997"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D76CBD7" w14:textId="77777777" w:rsidR="00FB2B2D" w:rsidRPr="00B61114" w:rsidRDefault="00FB2B2D" w:rsidP="00AF3DBB">
            <w:pPr>
              <w:spacing w:before="60" w:after="60" w:line="240" w:lineRule="atLeast"/>
              <w:ind w:left="-56" w:right="-28"/>
              <w:jc w:val="center"/>
              <w:rPr>
                <w:sz w:val="18"/>
                <w:szCs w:val="18"/>
              </w:rPr>
            </w:pPr>
            <w:r w:rsidRPr="00B61114">
              <w:rPr>
                <w:sz w:val="18"/>
                <w:szCs w:val="18"/>
              </w:rPr>
              <w:t>Diferencia en puntos</w:t>
            </w:r>
            <w:r w:rsidRPr="00B61114">
              <w:rPr>
                <w:sz w:val="18"/>
                <w:szCs w:val="18"/>
                <w:vertAlign w:val="superscript"/>
              </w:rPr>
              <w:t>1/</w:t>
            </w:r>
          </w:p>
        </w:tc>
        <w:tc>
          <w:tcPr>
            <w:tcW w:w="1709" w:type="dxa"/>
            <w:gridSpan w:val="2"/>
            <w:tcBorders>
              <w:top w:val="single" w:sz="4" w:space="0" w:color="404040"/>
              <w:left w:val="single" w:sz="4" w:space="0" w:color="404040"/>
              <w:bottom w:val="single" w:sz="4" w:space="0" w:color="404040"/>
              <w:right w:val="single" w:sz="4" w:space="0" w:color="404040"/>
            </w:tcBorders>
            <w:shd w:val="clear" w:color="auto" w:fill="CCCCFF"/>
          </w:tcPr>
          <w:p w14:paraId="2176A44A" w14:textId="056F4BF3" w:rsidR="00FB2B2D" w:rsidRPr="00B61114" w:rsidRDefault="00FB2B2D" w:rsidP="00EB256A">
            <w:pPr>
              <w:spacing w:before="40" w:after="40" w:line="240" w:lineRule="atLeast"/>
              <w:jc w:val="center"/>
              <w:rPr>
                <w:sz w:val="18"/>
                <w:szCs w:val="18"/>
              </w:rPr>
            </w:pPr>
            <w:r w:rsidRPr="00B61114">
              <w:rPr>
                <w:sz w:val="18"/>
                <w:szCs w:val="18"/>
              </w:rPr>
              <w:t>Número de meses consecutivos por arriba o por debajo del umbral de</w:t>
            </w:r>
            <w:r w:rsidRPr="00B61114">
              <w:rPr>
                <w:sz w:val="18"/>
                <w:szCs w:val="18"/>
              </w:rPr>
              <w:br/>
              <w:t xml:space="preserve">50 puntos </w:t>
            </w:r>
          </w:p>
        </w:tc>
      </w:tr>
      <w:tr w:rsidR="00710D9F" w:rsidRPr="00B61114" w14:paraId="73EB741D" w14:textId="77777777" w:rsidTr="00246D4B">
        <w:trPr>
          <w:cantSplit/>
          <w:trHeight w:val="20"/>
          <w:jc w:val="center"/>
        </w:trPr>
        <w:tc>
          <w:tcPr>
            <w:tcW w:w="5264" w:type="dxa"/>
            <w:tcBorders>
              <w:top w:val="single" w:sz="4" w:space="0" w:color="404040"/>
              <w:left w:val="single" w:sz="4" w:space="0" w:color="404040"/>
              <w:right w:val="single" w:sz="4" w:space="0" w:color="404040"/>
            </w:tcBorders>
            <w:vAlign w:val="center"/>
          </w:tcPr>
          <w:p w14:paraId="3700BE0C" w14:textId="77777777" w:rsidR="00710D9F" w:rsidRPr="00B61114" w:rsidRDefault="00710D9F" w:rsidP="00710D9F">
            <w:pPr>
              <w:tabs>
                <w:tab w:val="left" w:pos="339"/>
              </w:tabs>
              <w:spacing w:before="20" w:after="20"/>
              <w:ind w:left="323" w:hanging="306"/>
              <w:jc w:val="left"/>
              <w:rPr>
                <w:b/>
                <w:sz w:val="18"/>
                <w:szCs w:val="18"/>
              </w:rPr>
            </w:pPr>
            <w:r w:rsidRPr="00B61114">
              <w:rPr>
                <w:b/>
                <w:sz w:val="18"/>
                <w:szCs w:val="18"/>
              </w:rPr>
              <w:t>Indicador de Pedidos Manufactureros</w:t>
            </w:r>
          </w:p>
        </w:tc>
        <w:tc>
          <w:tcPr>
            <w:tcW w:w="997" w:type="dxa"/>
            <w:tcBorders>
              <w:top w:val="single" w:sz="4" w:space="0" w:color="404040"/>
              <w:left w:val="single" w:sz="4" w:space="0" w:color="404040"/>
              <w:right w:val="single" w:sz="4" w:space="0" w:color="404040"/>
            </w:tcBorders>
            <w:vAlign w:val="center"/>
          </w:tcPr>
          <w:p w14:paraId="3287A77B" w14:textId="7E1225FC" w:rsidR="00710D9F" w:rsidRPr="00710D9F" w:rsidRDefault="00710D9F" w:rsidP="00710D9F">
            <w:pPr>
              <w:tabs>
                <w:tab w:val="decimal" w:pos="435"/>
              </w:tabs>
              <w:jc w:val="left"/>
              <w:rPr>
                <w:b/>
                <w:bCs/>
                <w:sz w:val="18"/>
                <w:szCs w:val="18"/>
                <w:lang w:val="es-MX" w:eastAsia="es-MX"/>
              </w:rPr>
            </w:pPr>
            <w:r w:rsidRPr="00710D9F">
              <w:rPr>
                <w:b/>
                <w:bCs/>
                <w:sz w:val="18"/>
                <w:szCs w:val="18"/>
              </w:rPr>
              <w:t xml:space="preserve">50.8 </w:t>
            </w:r>
          </w:p>
        </w:tc>
        <w:tc>
          <w:tcPr>
            <w:tcW w:w="997" w:type="dxa"/>
            <w:tcBorders>
              <w:top w:val="single" w:sz="4" w:space="0" w:color="404040"/>
              <w:left w:val="single" w:sz="4" w:space="0" w:color="404040"/>
              <w:right w:val="single" w:sz="4" w:space="0" w:color="404040"/>
            </w:tcBorders>
            <w:vAlign w:val="center"/>
          </w:tcPr>
          <w:p w14:paraId="1930DA59" w14:textId="03922AB0" w:rsidR="00710D9F" w:rsidRPr="00710D9F" w:rsidRDefault="00710D9F" w:rsidP="00710D9F">
            <w:pPr>
              <w:tabs>
                <w:tab w:val="decimal" w:pos="435"/>
              </w:tabs>
              <w:jc w:val="left"/>
              <w:rPr>
                <w:b/>
                <w:bCs/>
                <w:sz w:val="18"/>
                <w:szCs w:val="18"/>
              </w:rPr>
            </w:pPr>
            <w:r w:rsidRPr="00710D9F">
              <w:rPr>
                <w:b/>
                <w:bCs/>
                <w:sz w:val="18"/>
                <w:szCs w:val="18"/>
              </w:rPr>
              <w:t xml:space="preserve">54.0 </w:t>
            </w:r>
          </w:p>
        </w:tc>
        <w:tc>
          <w:tcPr>
            <w:tcW w:w="997" w:type="dxa"/>
            <w:tcBorders>
              <w:top w:val="single" w:sz="4" w:space="0" w:color="404040"/>
              <w:left w:val="single" w:sz="4" w:space="0" w:color="404040"/>
              <w:right w:val="single" w:sz="4" w:space="0" w:color="404040"/>
            </w:tcBorders>
            <w:vAlign w:val="center"/>
          </w:tcPr>
          <w:p w14:paraId="023558CF" w14:textId="53136799" w:rsidR="00710D9F" w:rsidRPr="00710D9F" w:rsidRDefault="00710D9F" w:rsidP="00710D9F">
            <w:pPr>
              <w:tabs>
                <w:tab w:val="decimal" w:pos="330"/>
              </w:tabs>
              <w:jc w:val="left"/>
              <w:rPr>
                <w:b/>
                <w:bCs/>
                <w:sz w:val="18"/>
                <w:szCs w:val="18"/>
              </w:rPr>
            </w:pPr>
            <w:r w:rsidRPr="00710D9F">
              <w:rPr>
                <w:b/>
                <w:bCs/>
                <w:color w:val="000000"/>
                <w:sz w:val="18"/>
                <w:szCs w:val="18"/>
              </w:rPr>
              <w:t xml:space="preserve"> 3.19</w:t>
            </w:r>
          </w:p>
        </w:tc>
        <w:tc>
          <w:tcPr>
            <w:tcW w:w="470" w:type="dxa"/>
            <w:tcBorders>
              <w:top w:val="single" w:sz="4" w:space="0" w:color="404040"/>
              <w:left w:val="single" w:sz="4" w:space="0" w:color="404040"/>
            </w:tcBorders>
            <w:vAlign w:val="center"/>
          </w:tcPr>
          <w:p w14:paraId="6EE0267E" w14:textId="31009BF6" w:rsidR="00710D9F" w:rsidRPr="00710D9F" w:rsidRDefault="00710D9F" w:rsidP="00710D9F">
            <w:pPr>
              <w:ind w:right="57"/>
              <w:jc w:val="right"/>
              <w:rPr>
                <w:b/>
                <w:bCs/>
                <w:sz w:val="18"/>
                <w:szCs w:val="18"/>
              </w:rPr>
            </w:pPr>
            <w:r w:rsidRPr="00710D9F">
              <w:rPr>
                <w:b/>
                <w:bCs/>
                <w:sz w:val="18"/>
                <w:szCs w:val="18"/>
              </w:rPr>
              <w:t>2</w:t>
            </w:r>
          </w:p>
        </w:tc>
        <w:tc>
          <w:tcPr>
            <w:tcW w:w="1239" w:type="dxa"/>
            <w:tcBorders>
              <w:top w:val="single" w:sz="4" w:space="0" w:color="404040"/>
              <w:right w:val="single" w:sz="4" w:space="0" w:color="404040"/>
            </w:tcBorders>
            <w:vAlign w:val="center"/>
          </w:tcPr>
          <w:p w14:paraId="3DAB6917" w14:textId="6E2E5150" w:rsidR="00710D9F" w:rsidRPr="00710D9F" w:rsidRDefault="00710D9F" w:rsidP="00710D9F">
            <w:pPr>
              <w:ind w:left="-29" w:right="-55"/>
              <w:jc w:val="left"/>
              <w:rPr>
                <w:b/>
                <w:bCs/>
                <w:sz w:val="18"/>
                <w:szCs w:val="18"/>
              </w:rPr>
            </w:pPr>
            <w:r w:rsidRPr="00710D9F">
              <w:rPr>
                <w:b/>
                <w:bCs/>
                <w:sz w:val="18"/>
                <w:szCs w:val="18"/>
              </w:rPr>
              <w:t>por arriba</w:t>
            </w:r>
          </w:p>
        </w:tc>
      </w:tr>
      <w:tr w:rsidR="00710D9F" w:rsidRPr="00B61114" w14:paraId="56F87F6A" w14:textId="77777777" w:rsidTr="00246D4B">
        <w:trPr>
          <w:cantSplit/>
          <w:trHeight w:val="20"/>
          <w:jc w:val="center"/>
        </w:trPr>
        <w:tc>
          <w:tcPr>
            <w:tcW w:w="5264" w:type="dxa"/>
            <w:tcBorders>
              <w:left w:val="single" w:sz="4" w:space="0" w:color="404040"/>
              <w:right w:val="single" w:sz="4" w:space="0" w:color="404040"/>
            </w:tcBorders>
            <w:vAlign w:val="center"/>
          </w:tcPr>
          <w:p w14:paraId="2AD277CB" w14:textId="77777777" w:rsidR="00710D9F" w:rsidRPr="00B61114" w:rsidRDefault="00710D9F" w:rsidP="00A64511">
            <w:pPr>
              <w:numPr>
                <w:ilvl w:val="0"/>
                <w:numId w:val="48"/>
              </w:numPr>
              <w:spacing w:before="20" w:after="20"/>
              <w:jc w:val="left"/>
              <w:rPr>
                <w:sz w:val="18"/>
                <w:szCs w:val="18"/>
              </w:rPr>
            </w:pPr>
            <w:r w:rsidRPr="00B61114">
              <w:rPr>
                <w:sz w:val="18"/>
                <w:szCs w:val="18"/>
              </w:rPr>
              <w:t>Pedidos</w:t>
            </w:r>
          </w:p>
        </w:tc>
        <w:tc>
          <w:tcPr>
            <w:tcW w:w="997" w:type="dxa"/>
            <w:tcBorders>
              <w:left w:val="single" w:sz="4" w:space="0" w:color="404040"/>
              <w:right w:val="single" w:sz="4" w:space="0" w:color="404040"/>
            </w:tcBorders>
            <w:vAlign w:val="center"/>
          </w:tcPr>
          <w:p w14:paraId="674A78F1" w14:textId="47EFB1F9" w:rsidR="00710D9F" w:rsidRPr="00710D9F" w:rsidRDefault="00710D9F" w:rsidP="00710D9F">
            <w:pPr>
              <w:tabs>
                <w:tab w:val="decimal" w:pos="435"/>
              </w:tabs>
              <w:jc w:val="left"/>
              <w:rPr>
                <w:sz w:val="18"/>
                <w:szCs w:val="18"/>
              </w:rPr>
            </w:pPr>
            <w:r w:rsidRPr="00710D9F">
              <w:rPr>
                <w:sz w:val="18"/>
                <w:szCs w:val="18"/>
              </w:rPr>
              <w:t xml:space="preserve">52.0 </w:t>
            </w:r>
          </w:p>
        </w:tc>
        <w:tc>
          <w:tcPr>
            <w:tcW w:w="997" w:type="dxa"/>
            <w:tcBorders>
              <w:left w:val="single" w:sz="4" w:space="0" w:color="404040"/>
              <w:right w:val="single" w:sz="4" w:space="0" w:color="404040"/>
            </w:tcBorders>
            <w:vAlign w:val="center"/>
          </w:tcPr>
          <w:p w14:paraId="2F0E995B" w14:textId="6E52A872" w:rsidR="00710D9F" w:rsidRPr="00710D9F" w:rsidRDefault="00710D9F" w:rsidP="00710D9F">
            <w:pPr>
              <w:tabs>
                <w:tab w:val="decimal" w:pos="435"/>
              </w:tabs>
              <w:jc w:val="left"/>
              <w:rPr>
                <w:sz w:val="18"/>
                <w:szCs w:val="18"/>
              </w:rPr>
            </w:pPr>
            <w:r w:rsidRPr="00710D9F">
              <w:rPr>
                <w:sz w:val="18"/>
                <w:szCs w:val="18"/>
              </w:rPr>
              <w:t xml:space="preserve">56.2 </w:t>
            </w:r>
          </w:p>
        </w:tc>
        <w:tc>
          <w:tcPr>
            <w:tcW w:w="997" w:type="dxa"/>
            <w:tcBorders>
              <w:left w:val="single" w:sz="4" w:space="0" w:color="404040"/>
              <w:right w:val="single" w:sz="4" w:space="0" w:color="404040"/>
            </w:tcBorders>
            <w:vAlign w:val="center"/>
          </w:tcPr>
          <w:p w14:paraId="5E1E0FCC" w14:textId="67801AC4" w:rsidR="00710D9F" w:rsidRPr="00710D9F" w:rsidRDefault="00710D9F" w:rsidP="00710D9F">
            <w:pPr>
              <w:tabs>
                <w:tab w:val="decimal" w:pos="330"/>
              </w:tabs>
              <w:jc w:val="left"/>
              <w:rPr>
                <w:sz w:val="18"/>
                <w:szCs w:val="18"/>
              </w:rPr>
            </w:pPr>
            <w:r w:rsidRPr="00710D9F">
              <w:rPr>
                <w:color w:val="000000"/>
                <w:sz w:val="18"/>
                <w:szCs w:val="18"/>
              </w:rPr>
              <w:t xml:space="preserve"> 4.26</w:t>
            </w:r>
          </w:p>
        </w:tc>
        <w:tc>
          <w:tcPr>
            <w:tcW w:w="470" w:type="dxa"/>
            <w:tcBorders>
              <w:left w:val="single" w:sz="4" w:space="0" w:color="404040"/>
            </w:tcBorders>
            <w:vAlign w:val="center"/>
          </w:tcPr>
          <w:p w14:paraId="4250F9D9" w14:textId="7E506C3F" w:rsidR="00710D9F" w:rsidRPr="00710D9F" w:rsidRDefault="00710D9F" w:rsidP="00710D9F">
            <w:pPr>
              <w:ind w:right="57"/>
              <w:jc w:val="right"/>
              <w:rPr>
                <w:sz w:val="18"/>
                <w:szCs w:val="18"/>
              </w:rPr>
            </w:pPr>
            <w:r w:rsidRPr="00710D9F">
              <w:rPr>
                <w:sz w:val="18"/>
                <w:szCs w:val="18"/>
              </w:rPr>
              <w:t>2</w:t>
            </w:r>
          </w:p>
        </w:tc>
        <w:tc>
          <w:tcPr>
            <w:tcW w:w="1239" w:type="dxa"/>
            <w:tcBorders>
              <w:right w:val="single" w:sz="4" w:space="0" w:color="404040"/>
            </w:tcBorders>
            <w:vAlign w:val="center"/>
          </w:tcPr>
          <w:p w14:paraId="378DD386" w14:textId="6673ED65" w:rsidR="00710D9F" w:rsidRPr="00710D9F" w:rsidRDefault="00710D9F" w:rsidP="00710D9F">
            <w:pPr>
              <w:ind w:left="-29" w:right="-55"/>
              <w:jc w:val="left"/>
              <w:rPr>
                <w:bCs/>
                <w:sz w:val="18"/>
                <w:szCs w:val="18"/>
              </w:rPr>
            </w:pPr>
            <w:r w:rsidRPr="00710D9F">
              <w:rPr>
                <w:sz w:val="18"/>
                <w:szCs w:val="18"/>
              </w:rPr>
              <w:t>por arriba</w:t>
            </w:r>
          </w:p>
        </w:tc>
      </w:tr>
      <w:tr w:rsidR="00710D9F" w:rsidRPr="00B61114" w14:paraId="42EB17DF" w14:textId="77777777" w:rsidTr="00246D4B">
        <w:trPr>
          <w:cantSplit/>
          <w:trHeight w:val="20"/>
          <w:jc w:val="center"/>
        </w:trPr>
        <w:tc>
          <w:tcPr>
            <w:tcW w:w="5264" w:type="dxa"/>
            <w:tcBorders>
              <w:left w:val="single" w:sz="4" w:space="0" w:color="404040"/>
              <w:right w:val="single" w:sz="4" w:space="0" w:color="404040"/>
            </w:tcBorders>
            <w:vAlign w:val="center"/>
          </w:tcPr>
          <w:p w14:paraId="163CE724" w14:textId="77777777" w:rsidR="00710D9F" w:rsidRPr="00B61114" w:rsidRDefault="00710D9F" w:rsidP="00A64511">
            <w:pPr>
              <w:numPr>
                <w:ilvl w:val="0"/>
                <w:numId w:val="48"/>
              </w:numPr>
              <w:spacing w:before="20" w:after="20"/>
              <w:ind w:left="325" w:hanging="309"/>
              <w:jc w:val="left"/>
              <w:rPr>
                <w:sz w:val="18"/>
                <w:szCs w:val="18"/>
              </w:rPr>
            </w:pPr>
            <w:r w:rsidRPr="00B61114">
              <w:rPr>
                <w:sz w:val="18"/>
                <w:szCs w:val="18"/>
              </w:rPr>
              <w:t>Producción</w:t>
            </w:r>
          </w:p>
        </w:tc>
        <w:tc>
          <w:tcPr>
            <w:tcW w:w="997" w:type="dxa"/>
            <w:tcBorders>
              <w:left w:val="single" w:sz="4" w:space="0" w:color="404040"/>
              <w:right w:val="single" w:sz="4" w:space="0" w:color="404040"/>
            </w:tcBorders>
            <w:vAlign w:val="center"/>
          </w:tcPr>
          <w:p w14:paraId="397C1D8E" w14:textId="79C26542" w:rsidR="00710D9F" w:rsidRPr="00710D9F" w:rsidRDefault="00710D9F" w:rsidP="00710D9F">
            <w:pPr>
              <w:tabs>
                <w:tab w:val="decimal" w:pos="435"/>
              </w:tabs>
              <w:jc w:val="left"/>
              <w:rPr>
                <w:sz w:val="18"/>
                <w:szCs w:val="18"/>
              </w:rPr>
            </w:pPr>
            <w:r w:rsidRPr="00710D9F">
              <w:rPr>
                <w:sz w:val="18"/>
                <w:szCs w:val="18"/>
              </w:rPr>
              <w:t xml:space="preserve">51.8 </w:t>
            </w:r>
          </w:p>
        </w:tc>
        <w:tc>
          <w:tcPr>
            <w:tcW w:w="997" w:type="dxa"/>
            <w:tcBorders>
              <w:left w:val="single" w:sz="4" w:space="0" w:color="404040"/>
              <w:right w:val="single" w:sz="4" w:space="0" w:color="404040"/>
            </w:tcBorders>
            <w:vAlign w:val="center"/>
          </w:tcPr>
          <w:p w14:paraId="6986A361" w14:textId="520450BB" w:rsidR="00710D9F" w:rsidRPr="00710D9F" w:rsidRDefault="00710D9F" w:rsidP="00710D9F">
            <w:pPr>
              <w:tabs>
                <w:tab w:val="decimal" w:pos="435"/>
              </w:tabs>
              <w:jc w:val="left"/>
              <w:rPr>
                <w:sz w:val="18"/>
                <w:szCs w:val="18"/>
              </w:rPr>
            </w:pPr>
            <w:r w:rsidRPr="00710D9F">
              <w:rPr>
                <w:sz w:val="18"/>
                <w:szCs w:val="18"/>
              </w:rPr>
              <w:t xml:space="preserve">57.9 </w:t>
            </w:r>
          </w:p>
        </w:tc>
        <w:tc>
          <w:tcPr>
            <w:tcW w:w="997" w:type="dxa"/>
            <w:tcBorders>
              <w:left w:val="single" w:sz="4" w:space="0" w:color="404040"/>
              <w:right w:val="single" w:sz="4" w:space="0" w:color="404040"/>
            </w:tcBorders>
            <w:vAlign w:val="center"/>
          </w:tcPr>
          <w:p w14:paraId="6D36B56C" w14:textId="51EBC9EF" w:rsidR="00710D9F" w:rsidRPr="00710D9F" w:rsidRDefault="00710D9F" w:rsidP="00710D9F">
            <w:pPr>
              <w:tabs>
                <w:tab w:val="decimal" w:pos="330"/>
              </w:tabs>
              <w:jc w:val="left"/>
              <w:rPr>
                <w:sz w:val="18"/>
                <w:szCs w:val="18"/>
              </w:rPr>
            </w:pPr>
            <w:r w:rsidRPr="00710D9F">
              <w:rPr>
                <w:color w:val="000000"/>
                <w:sz w:val="18"/>
                <w:szCs w:val="18"/>
              </w:rPr>
              <w:t xml:space="preserve"> 6.06</w:t>
            </w:r>
          </w:p>
        </w:tc>
        <w:tc>
          <w:tcPr>
            <w:tcW w:w="470" w:type="dxa"/>
            <w:tcBorders>
              <w:left w:val="single" w:sz="4" w:space="0" w:color="404040"/>
            </w:tcBorders>
            <w:vAlign w:val="center"/>
          </w:tcPr>
          <w:p w14:paraId="66DAF3BB" w14:textId="10D54719" w:rsidR="00710D9F" w:rsidRPr="00710D9F" w:rsidRDefault="00710D9F" w:rsidP="00710D9F">
            <w:pPr>
              <w:ind w:right="57"/>
              <w:jc w:val="right"/>
              <w:rPr>
                <w:sz w:val="18"/>
                <w:szCs w:val="18"/>
              </w:rPr>
            </w:pPr>
            <w:r w:rsidRPr="00710D9F">
              <w:rPr>
                <w:sz w:val="18"/>
                <w:szCs w:val="18"/>
              </w:rPr>
              <w:t>3</w:t>
            </w:r>
          </w:p>
        </w:tc>
        <w:tc>
          <w:tcPr>
            <w:tcW w:w="1239" w:type="dxa"/>
            <w:tcBorders>
              <w:right w:val="single" w:sz="4" w:space="0" w:color="404040"/>
            </w:tcBorders>
            <w:vAlign w:val="center"/>
          </w:tcPr>
          <w:p w14:paraId="78C544BE" w14:textId="07F87C57" w:rsidR="00710D9F" w:rsidRPr="00710D9F" w:rsidRDefault="00710D9F" w:rsidP="00710D9F">
            <w:pPr>
              <w:ind w:left="-29" w:right="-55"/>
              <w:jc w:val="left"/>
              <w:rPr>
                <w:bCs/>
                <w:sz w:val="18"/>
                <w:szCs w:val="18"/>
              </w:rPr>
            </w:pPr>
            <w:r w:rsidRPr="00710D9F">
              <w:rPr>
                <w:sz w:val="18"/>
                <w:szCs w:val="18"/>
              </w:rPr>
              <w:t>por arriba</w:t>
            </w:r>
          </w:p>
        </w:tc>
      </w:tr>
      <w:tr w:rsidR="00710D9F" w:rsidRPr="00B61114" w14:paraId="36E5C68A" w14:textId="77777777" w:rsidTr="00246D4B">
        <w:trPr>
          <w:cantSplit/>
          <w:trHeight w:val="20"/>
          <w:jc w:val="center"/>
        </w:trPr>
        <w:tc>
          <w:tcPr>
            <w:tcW w:w="5264" w:type="dxa"/>
            <w:tcBorders>
              <w:left w:val="single" w:sz="4" w:space="0" w:color="404040"/>
              <w:right w:val="single" w:sz="4" w:space="0" w:color="404040"/>
            </w:tcBorders>
            <w:vAlign w:val="center"/>
          </w:tcPr>
          <w:p w14:paraId="4FFFA0C0" w14:textId="10FB861C" w:rsidR="00710D9F" w:rsidRPr="00B61114" w:rsidRDefault="00710D9F" w:rsidP="00A64511">
            <w:pPr>
              <w:widowControl w:val="0"/>
              <w:numPr>
                <w:ilvl w:val="0"/>
                <w:numId w:val="48"/>
              </w:numPr>
              <w:spacing w:before="20" w:after="20"/>
              <w:ind w:left="323" w:hanging="306"/>
              <w:jc w:val="left"/>
              <w:rPr>
                <w:sz w:val="18"/>
                <w:szCs w:val="18"/>
              </w:rPr>
            </w:pPr>
            <w:r w:rsidRPr="00B61114">
              <w:rPr>
                <w:sz w:val="18"/>
                <w:szCs w:val="18"/>
              </w:rPr>
              <w:t>Personal ocupado</w:t>
            </w:r>
          </w:p>
        </w:tc>
        <w:tc>
          <w:tcPr>
            <w:tcW w:w="997" w:type="dxa"/>
            <w:tcBorders>
              <w:left w:val="single" w:sz="4" w:space="0" w:color="404040"/>
              <w:right w:val="single" w:sz="4" w:space="0" w:color="404040"/>
            </w:tcBorders>
            <w:vAlign w:val="center"/>
          </w:tcPr>
          <w:p w14:paraId="1CC6BE51" w14:textId="7DDDEAA7" w:rsidR="00710D9F" w:rsidRPr="00710D9F" w:rsidRDefault="00710D9F" w:rsidP="00710D9F">
            <w:pPr>
              <w:tabs>
                <w:tab w:val="decimal" w:pos="435"/>
              </w:tabs>
              <w:jc w:val="left"/>
              <w:rPr>
                <w:sz w:val="18"/>
                <w:szCs w:val="18"/>
              </w:rPr>
            </w:pPr>
            <w:r w:rsidRPr="00710D9F">
              <w:rPr>
                <w:sz w:val="18"/>
                <w:szCs w:val="18"/>
              </w:rPr>
              <w:t xml:space="preserve">49.8 </w:t>
            </w:r>
          </w:p>
        </w:tc>
        <w:tc>
          <w:tcPr>
            <w:tcW w:w="997" w:type="dxa"/>
            <w:tcBorders>
              <w:left w:val="single" w:sz="4" w:space="0" w:color="404040"/>
              <w:right w:val="single" w:sz="4" w:space="0" w:color="404040"/>
            </w:tcBorders>
            <w:vAlign w:val="center"/>
          </w:tcPr>
          <w:p w14:paraId="0F7FF7BB" w14:textId="5B5FCAA7" w:rsidR="00710D9F" w:rsidRPr="00710D9F" w:rsidRDefault="00710D9F" w:rsidP="00710D9F">
            <w:pPr>
              <w:tabs>
                <w:tab w:val="decimal" w:pos="435"/>
              </w:tabs>
              <w:jc w:val="left"/>
              <w:rPr>
                <w:sz w:val="18"/>
                <w:szCs w:val="18"/>
              </w:rPr>
            </w:pPr>
            <w:r w:rsidRPr="00710D9F">
              <w:rPr>
                <w:sz w:val="18"/>
                <w:szCs w:val="18"/>
              </w:rPr>
              <w:t xml:space="preserve">50.8 </w:t>
            </w:r>
          </w:p>
        </w:tc>
        <w:tc>
          <w:tcPr>
            <w:tcW w:w="997" w:type="dxa"/>
            <w:tcBorders>
              <w:left w:val="single" w:sz="4" w:space="0" w:color="404040"/>
              <w:right w:val="single" w:sz="4" w:space="0" w:color="404040"/>
            </w:tcBorders>
            <w:vAlign w:val="center"/>
          </w:tcPr>
          <w:p w14:paraId="3B4F6D4B" w14:textId="448B5A9D" w:rsidR="00710D9F" w:rsidRPr="00710D9F" w:rsidRDefault="00710D9F" w:rsidP="00710D9F">
            <w:pPr>
              <w:tabs>
                <w:tab w:val="decimal" w:pos="330"/>
              </w:tabs>
              <w:jc w:val="left"/>
              <w:rPr>
                <w:sz w:val="18"/>
                <w:szCs w:val="18"/>
              </w:rPr>
            </w:pPr>
            <w:r w:rsidRPr="00710D9F">
              <w:rPr>
                <w:color w:val="000000"/>
                <w:sz w:val="18"/>
                <w:szCs w:val="18"/>
              </w:rPr>
              <w:t xml:space="preserve"> 0.97</w:t>
            </w:r>
          </w:p>
        </w:tc>
        <w:tc>
          <w:tcPr>
            <w:tcW w:w="470" w:type="dxa"/>
            <w:tcBorders>
              <w:left w:val="single" w:sz="4" w:space="0" w:color="404040"/>
            </w:tcBorders>
            <w:vAlign w:val="center"/>
          </w:tcPr>
          <w:p w14:paraId="71209E1A" w14:textId="3541DB67" w:rsidR="00710D9F" w:rsidRPr="00710D9F" w:rsidRDefault="00710D9F" w:rsidP="00710D9F">
            <w:pPr>
              <w:ind w:right="57"/>
              <w:jc w:val="right"/>
              <w:rPr>
                <w:sz w:val="18"/>
                <w:szCs w:val="18"/>
              </w:rPr>
            </w:pPr>
            <w:r w:rsidRPr="00710D9F">
              <w:rPr>
                <w:sz w:val="18"/>
                <w:szCs w:val="18"/>
              </w:rPr>
              <w:t>1</w:t>
            </w:r>
          </w:p>
        </w:tc>
        <w:tc>
          <w:tcPr>
            <w:tcW w:w="1239" w:type="dxa"/>
            <w:tcBorders>
              <w:right w:val="single" w:sz="4" w:space="0" w:color="404040"/>
            </w:tcBorders>
            <w:vAlign w:val="center"/>
          </w:tcPr>
          <w:p w14:paraId="0B5E2CB5" w14:textId="7B15D377" w:rsidR="00710D9F" w:rsidRPr="00710D9F" w:rsidRDefault="00710D9F" w:rsidP="00710D9F">
            <w:pPr>
              <w:ind w:left="-29" w:right="-55"/>
              <w:jc w:val="left"/>
              <w:rPr>
                <w:bCs/>
                <w:sz w:val="18"/>
                <w:szCs w:val="18"/>
              </w:rPr>
            </w:pPr>
            <w:r w:rsidRPr="00710D9F">
              <w:rPr>
                <w:sz w:val="18"/>
                <w:szCs w:val="18"/>
              </w:rPr>
              <w:t>por arriba</w:t>
            </w:r>
          </w:p>
        </w:tc>
      </w:tr>
      <w:tr w:rsidR="00710D9F" w:rsidRPr="00B61114" w14:paraId="5328C6FB" w14:textId="77777777" w:rsidTr="00246D4B">
        <w:trPr>
          <w:cantSplit/>
          <w:trHeight w:val="20"/>
          <w:jc w:val="center"/>
        </w:trPr>
        <w:tc>
          <w:tcPr>
            <w:tcW w:w="5264" w:type="dxa"/>
            <w:tcBorders>
              <w:left w:val="single" w:sz="4" w:space="0" w:color="404040"/>
              <w:right w:val="single" w:sz="4" w:space="0" w:color="404040"/>
            </w:tcBorders>
            <w:vAlign w:val="center"/>
          </w:tcPr>
          <w:p w14:paraId="27FE6B1C" w14:textId="7520C8AE" w:rsidR="00710D9F" w:rsidRPr="00B61114" w:rsidRDefault="00710D9F" w:rsidP="00A64511">
            <w:pPr>
              <w:widowControl w:val="0"/>
              <w:numPr>
                <w:ilvl w:val="0"/>
                <w:numId w:val="48"/>
              </w:numPr>
              <w:spacing w:before="20" w:after="20"/>
              <w:ind w:left="323" w:right="-85" w:hanging="306"/>
              <w:jc w:val="left"/>
              <w:rPr>
                <w:sz w:val="18"/>
                <w:szCs w:val="18"/>
              </w:rPr>
            </w:pPr>
            <w:r w:rsidRPr="00B61114">
              <w:rPr>
                <w:sz w:val="18"/>
                <w:szCs w:val="18"/>
              </w:rPr>
              <w:t xml:space="preserve">Oportunidad en la entrega de insumos de </w:t>
            </w:r>
            <w:r w:rsidR="00125440">
              <w:rPr>
                <w:sz w:val="18"/>
                <w:szCs w:val="18"/>
              </w:rPr>
              <w:t xml:space="preserve">los </w:t>
            </w:r>
            <w:r w:rsidRPr="00B61114">
              <w:rPr>
                <w:sz w:val="18"/>
                <w:szCs w:val="18"/>
              </w:rPr>
              <w:t>proveedores</w:t>
            </w:r>
          </w:p>
        </w:tc>
        <w:tc>
          <w:tcPr>
            <w:tcW w:w="997" w:type="dxa"/>
            <w:tcBorders>
              <w:left w:val="single" w:sz="4" w:space="0" w:color="404040"/>
              <w:right w:val="single" w:sz="4" w:space="0" w:color="404040"/>
            </w:tcBorders>
            <w:vAlign w:val="center"/>
          </w:tcPr>
          <w:p w14:paraId="665FD5E1" w14:textId="35D2EBC4" w:rsidR="00710D9F" w:rsidRPr="00710D9F" w:rsidRDefault="00710D9F" w:rsidP="00710D9F">
            <w:pPr>
              <w:tabs>
                <w:tab w:val="decimal" w:pos="435"/>
              </w:tabs>
              <w:jc w:val="left"/>
              <w:rPr>
                <w:sz w:val="18"/>
                <w:szCs w:val="18"/>
              </w:rPr>
            </w:pPr>
            <w:r w:rsidRPr="00710D9F">
              <w:rPr>
                <w:sz w:val="18"/>
                <w:szCs w:val="18"/>
              </w:rPr>
              <w:t xml:space="preserve">48.7 </w:t>
            </w:r>
          </w:p>
        </w:tc>
        <w:tc>
          <w:tcPr>
            <w:tcW w:w="997" w:type="dxa"/>
            <w:tcBorders>
              <w:left w:val="single" w:sz="4" w:space="0" w:color="404040"/>
              <w:right w:val="single" w:sz="4" w:space="0" w:color="404040"/>
            </w:tcBorders>
            <w:vAlign w:val="center"/>
          </w:tcPr>
          <w:p w14:paraId="059D083C" w14:textId="0B98DF52" w:rsidR="00710D9F" w:rsidRPr="00710D9F" w:rsidRDefault="00710D9F" w:rsidP="00710D9F">
            <w:pPr>
              <w:tabs>
                <w:tab w:val="decimal" w:pos="435"/>
              </w:tabs>
              <w:jc w:val="left"/>
              <w:rPr>
                <w:sz w:val="18"/>
                <w:szCs w:val="18"/>
              </w:rPr>
            </w:pPr>
            <w:r w:rsidRPr="00710D9F">
              <w:rPr>
                <w:sz w:val="18"/>
                <w:szCs w:val="18"/>
              </w:rPr>
              <w:t xml:space="preserve">49.1 </w:t>
            </w:r>
          </w:p>
        </w:tc>
        <w:tc>
          <w:tcPr>
            <w:tcW w:w="997" w:type="dxa"/>
            <w:tcBorders>
              <w:left w:val="single" w:sz="4" w:space="0" w:color="404040"/>
              <w:right w:val="single" w:sz="4" w:space="0" w:color="404040"/>
            </w:tcBorders>
            <w:vAlign w:val="center"/>
          </w:tcPr>
          <w:p w14:paraId="7451A40F" w14:textId="0151C328" w:rsidR="00710D9F" w:rsidRPr="00710D9F" w:rsidRDefault="00710D9F" w:rsidP="00710D9F">
            <w:pPr>
              <w:tabs>
                <w:tab w:val="decimal" w:pos="330"/>
              </w:tabs>
              <w:jc w:val="left"/>
              <w:rPr>
                <w:sz w:val="18"/>
                <w:szCs w:val="18"/>
              </w:rPr>
            </w:pPr>
            <w:r w:rsidRPr="00710D9F">
              <w:rPr>
                <w:color w:val="000000"/>
                <w:sz w:val="18"/>
                <w:szCs w:val="18"/>
              </w:rPr>
              <w:t xml:space="preserve"> 0.34</w:t>
            </w:r>
          </w:p>
        </w:tc>
        <w:tc>
          <w:tcPr>
            <w:tcW w:w="470" w:type="dxa"/>
            <w:tcBorders>
              <w:left w:val="single" w:sz="4" w:space="0" w:color="404040"/>
            </w:tcBorders>
            <w:vAlign w:val="center"/>
          </w:tcPr>
          <w:p w14:paraId="7B0FD17A" w14:textId="185092B6" w:rsidR="00710D9F" w:rsidRPr="00710D9F" w:rsidRDefault="00710D9F" w:rsidP="00710D9F">
            <w:pPr>
              <w:ind w:right="57"/>
              <w:jc w:val="right"/>
              <w:rPr>
                <w:sz w:val="18"/>
                <w:szCs w:val="18"/>
              </w:rPr>
            </w:pPr>
            <w:r w:rsidRPr="00710D9F">
              <w:rPr>
                <w:sz w:val="18"/>
                <w:szCs w:val="18"/>
              </w:rPr>
              <w:t>16</w:t>
            </w:r>
          </w:p>
        </w:tc>
        <w:tc>
          <w:tcPr>
            <w:tcW w:w="1239" w:type="dxa"/>
            <w:tcBorders>
              <w:right w:val="single" w:sz="4" w:space="0" w:color="404040"/>
            </w:tcBorders>
            <w:vAlign w:val="center"/>
          </w:tcPr>
          <w:p w14:paraId="28E4233E" w14:textId="6B40D225" w:rsidR="00710D9F" w:rsidRPr="00710D9F" w:rsidRDefault="00710D9F" w:rsidP="00710D9F">
            <w:pPr>
              <w:ind w:left="-29" w:right="-55"/>
              <w:jc w:val="left"/>
              <w:rPr>
                <w:bCs/>
                <w:sz w:val="18"/>
                <w:szCs w:val="18"/>
              </w:rPr>
            </w:pPr>
            <w:r w:rsidRPr="00710D9F">
              <w:rPr>
                <w:sz w:val="18"/>
                <w:szCs w:val="18"/>
              </w:rPr>
              <w:t>por debajo</w:t>
            </w:r>
          </w:p>
        </w:tc>
      </w:tr>
      <w:tr w:rsidR="00710D9F" w:rsidRPr="00B61114" w14:paraId="1AD423F4" w14:textId="77777777" w:rsidTr="00246D4B">
        <w:trPr>
          <w:cantSplit/>
          <w:trHeight w:val="20"/>
          <w:jc w:val="center"/>
        </w:trPr>
        <w:tc>
          <w:tcPr>
            <w:tcW w:w="5264" w:type="dxa"/>
            <w:tcBorders>
              <w:left w:val="single" w:sz="4" w:space="0" w:color="404040"/>
              <w:bottom w:val="single" w:sz="4" w:space="0" w:color="404040"/>
              <w:right w:val="single" w:sz="4" w:space="0" w:color="404040"/>
            </w:tcBorders>
            <w:vAlign w:val="center"/>
          </w:tcPr>
          <w:p w14:paraId="5E6673A2" w14:textId="77777777" w:rsidR="00710D9F" w:rsidRPr="00B61114" w:rsidRDefault="00710D9F" w:rsidP="00A64511">
            <w:pPr>
              <w:widowControl w:val="0"/>
              <w:numPr>
                <w:ilvl w:val="0"/>
                <w:numId w:val="48"/>
              </w:numPr>
              <w:spacing w:before="20" w:after="20"/>
              <w:ind w:left="323" w:hanging="306"/>
              <w:jc w:val="left"/>
              <w:rPr>
                <w:sz w:val="18"/>
                <w:szCs w:val="18"/>
              </w:rPr>
            </w:pPr>
            <w:r w:rsidRPr="00B61114">
              <w:rPr>
                <w:sz w:val="18"/>
                <w:szCs w:val="18"/>
              </w:rPr>
              <w:t>Inventarios de insumos</w:t>
            </w:r>
          </w:p>
        </w:tc>
        <w:tc>
          <w:tcPr>
            <w:tcW w:w="997" w:type="dxa"/>
            <w:tcBorders>
              <w:left w:val="single" w:sz="4" w:space="0" w:color="404040"/>
              <w:bottom w:val="single" w:sz="4" w:space="0" w:color="404040"/>
              <w:right w:val="single" w:sz="4" w:space="0" w:color="404040"/>
            </w:tcBorders>
            <w:vAlign w:val="center"/>
          </w:tcPr>
          <w:p w14:paraId="1B6EEFA3" w14:textId="6C511C47" w:rsidR="00710D9F" w:rsidRPr="00710D9F" w:rsidRDefault="00710D9F" w:rsidP="00710D9F">
            <w:pPr>
              <w:tabs>
                <w:tab w:val="decimal" w:pos="435"/>
              </w:tabs>
              <w:jc w:val="left"/>
              <w:rPr>
                <w:sz w:val="18"/>
                <w:szCs w:val="18"/>
              </w:rPr>
            </w:pPr>
            <w:r w:rsidRPr="00710D9F">
              <w:rPr>
                <w:sz w:val="18"/>
                <w:szCs w:val="18"/>
              </w:rPr>
              <w:t xml:space="preserve">48.7 </w:t>
            </w:r>
          </w:p>
        </w:tc>
        <w:tc>
          <w:tcPr>
            <w:tcW w:w="997" w:type="dxa"/>
            <w:tcBorders>
              <w:left w:val="single" w:sz="4" w:space="0" w:color="404040"/>
              <w:bottom w:val="single" w:sz="4" w:space="0" w:color="404040"/>
              <w:right w:val="single" w:sz="4" w:space="0" w:color="404040"/>
            </w:tcBorders>
            <w:vAlign w:val="center"/>
          </w:tcPr>
          <w:p w14:paraId="09EBF545" w14:textId="449E6F3F" w:rsidR="00710D9F" w:rsidRPr="00710D9F" w:rsidRDefault="00710D9F" w:rsidP="00710D9F">
            <w:pPr>
              <w:tabs>
                <w:tab w:val="decimal" w:pos="435"/>
              </w:tabs>
              <w:jc w:val="left"/>
              <w:rPr>
                <w:sz w:val="18"/>
                <w:szCs w:val="18"/>
              </w:rPr>
            </w:pPr>
            <w:r w:rsidRPr="00710D9F">
              <w:rPr>
                <w:sz w:val="18"/>
                <w:szCs w:val="18"/>
              </w:rPr>
              <w:t xml:space="preserve">50.1 </w:t>
            </w:r>
          </w:p>
        </w:tc>
        <w:tc>
          <w:tcPr>
            <w:tcW w:w="997" w:type="dxa"/>
            <w:tcBorders>
              <w:left w:val="single" w:sz="4" w:space="0" w:color="404040"/>
              <w:bottom w:val="single" w:sz="4" w:space="0" w:color="404040"/>
              <w:right w:val="single" w:sz="4" w:space="0" w:color="404040"/>
            </w:tcBorders>
            <w:vAlign w:val="center"/>
          </w:tcPr>
          <w:p w14:paraId="3C2CFC42" w14:textId="695F4835" w:rsidR="00710D9F" w:rsidRPr="00710D9F" w:rsidRDefault="00710D9F" w:rsidP="00710D9F">
            <w:pPr>
              <w:tabs>
                <w:tab w:val="decimal" w:pos="330"/>
              </w:tabs>
              <w:jc w:val="left"/>
              <w:rPr>
                <w:sz w:val="18"/>
                <w:szCs w:val="18"/>
              </w:rPr>
            </w:pPr>
            <w:r w:rsidRPr="00710D9F">
              <w:rPr>
                <w:color w:val="000000"/>
                <w:sz w:val="18"/>
                <w:szCs w:val="18"/>
              </w:rPr>
              <w:t xml:space="preserve"> 1.37</w:t>
            </w:r>
          </w:p>
        </w:tc>
        <w:tc>
          <w:tcPr>
            <w:tcW w:w="470" w:type="dxa"/>
            <w:tcBorders>
              <w:left w:val="single" w:sz="4" w:space="0" w:color="404040"/>
              <w:bottom w:val="single" w:sz="4" w:space="0" w:color="404040"/>
            </w:tcBorders>
            <w:vAlign w:val="center"/>
          </w:tcPr>
          <w:p w14:paraId="24D63F8D" w14:textId="571BCA55" w:rsidR="00710D9F" w:rsidRPr="00710D9F" w:rsidRDefault="00710D9F" w:rsidP="00710D9F">
            <w:pPr>
              <w:ind w:right="57"/>
              <w:jc w:val="right"/>
              <w:rPr>
                <w:sz w:val="18"/>
                <w:szCs w:val="18"/>
              </w:rPr>
            </w:pPr>
            <w:r w:rsidRPr="00710D9F">
              <w:rPr>
                <w:sz w:val="18"/>
                <w:szCs w:val="18"/>
              </w:rPr>
              <w:t>1</w:t>
            </w:r>
          </w:p>
        </w:tc>
        <w:tc>
          <w:tcPr>
            <w:tcW w:w="1239" w:type="dxa"/>
            <w:tcBorders>
              <w:bottom w:val="single" w:sz="4" w:space="0" w:color="404040"/>
              <w:right w:val="single" w:sz="4" w:space="0" w:color="404040"/>
            </w:tcBorders>
            <w:vAlign w:val="center"/>
          </w:tcPr>
          <w:p w14:paraId="4A50DA51" w14:textId="61D0584D" w:rsidR="00710D9F" w:rsidRPr="00710D9F" w:rsidRDefault="00710D9F" w:rsidP="00710D9F">
            <w:pPr>
              <w:ind w:left="-29" w:right="-55"/>
              <w:jc w:val="left"/>
              <w:rPr>
                <w:bCs/>
                <w:sz w:val="18"/>
                <w:szCs w:val="18"/>
              </w:rPr>
            </w:pPr>
            <w:r w:rsidRPr="00710D9F">
              <w:rPr>
                <w:sz w:val="18"/>
                <w:szCs w:val="18"/>
              </w:rPr>
              <w:t>por arriba</w:t>
            </w:r>
          </w:p>
        </w:tc>
      </w:tr>
    </w:tbl>
    <w:p w14:paraId="577408E7" w14:textId="7ECC8ED6" w:rsidR="0007670F" w:rsidRPr="00B61114" w:rsidRDefault="0007670F" w:rsidP="005B4197">
      <w:pPr>
        <w:widowControl w:val="0"/>
        <w:tabs>
          <w:tab w:val="left" w:pos="851"/>
        </w:tabs>
        <w:spacing w:before="20"/>
        <w:ind w:left="714" w:right="713" w:hanging="602"/>
        <w:outlineLvl w:val="0"/>
        <w:rPr>
          <w:sz w:val="16"/>
          <w:szCs w:val="16"/>
        </w:rPr>
      </w:pPr>
      <w:r w:rsidRPr="00B61114">
        <w:rPr>
          <w:sz w:val="16"/>
          <w:szCs w:val="16"/>
        </w:rPr>
        <w:t>Nota:</w:t>
      </w:r>
      <w:r w:rsidRPr="00B61114">
        <w:rPr>
          <w:sz w:val="16"/>
          <w:szCs w:val="16"/>
        </w:rPr>
        <w:tab/>
        <w:t xml:space="preserve">Los indicadores se generan con los datos referentes al mes de la entrevista. </w:t>
      </w:r>
    </w:p>
    <w:p w14:paraId="198667C7" w14:textId="1B97269A" w:rsidR="0007670F" w:rsidRPr="00B61114" w:rsidRDefault="0007670F" w:rsidP="005B4197">
      <w:pPr>
        <w:widowControl w:val="0"/>
        <w:tabs>
          <w:tab w:val="left" w:pos="851"/>
        </w:tabs>
        <w:ind w:left="714" w:hanging="602"/>
        <w:rPr>
          <w:sz w:val="16"/>
          <w:szCs w:val="16"/>
        </w:rPr>
      </w:pPr>
      <w:r w:rsidRPr="00B61114">
        <w:rPr>
          <w:sz w:val="18"/>
          <w:szCs w:val="18"/>
          <w:vertAlign w:val="superscript"/>
        </w:rPr>
        <w:t>1/</w:t>
      </w:r>
      <w:r w:rsidRPr="00B61114">
        <w:rPr>
          <w:sz w:val="16"/>
          <w:szCs w:val="16"/>
        </w:rPr>
        <w:tab/>
        <w:t>Las diferencias en puntos se obtienen de los respectivos indicadores considerando todos sus decimales.</w:t>
      </w:r>
    </w:p>
    <w:p w14:paraId="5447F94F" w14:textId="60B71F5D" w:rsidR="00AB6F59" w:rsidRPr="00B61114" w:rsidRDefault="00AB6F59" w:rsidP="001B552E">
      <w:pPr>
        <w:widowControl w:val="0"/>
        <w:tabs>
          <w:tab w:val="left" w:pos="851"/>
        </w:tabs>
        <w:spacing w:before="20"/>
        <w:ind w:left="714" w:right="51" w:hanging="602"/>
        <w:outlineLvl w:val="0"/>
        <w:rPr>
          <w:b/>
          <w:bCs/>
          <w:smallCaps/>
          <w:kern w:val="32"/>
          <w:sz w:val="16"/>
          <w:szCs w:val="16"/>
        </w:rPr>
      </w:pPr>
      <w:r w:rsidRPr="00B61114">
        <w:rPr>
          <w:sz w:val="16"/>
          <w:szCs w:val="16"/>
        </w:rPr>
        <w:t>Fuente:</w:t>
      </w:r>
      <w:r w:rsidR="00580C8B" w:rsidRPr="00B61114">
        <w:rPr>
          <w:sz w:val="16"/>
          <w:szCs w:val="16"/>
        </w:rPr>
        <w:tab/>
      </w:r>
      <w:r w:rsidR="001B552E" w:rsidRPr="00B61114">
        <w:rPr>
          <w:smallCaps/>
          <w:sz w:val="16"/>
          <w:szCs w:val="16"/>
        </w:rPr>
        <w:t>inegi</w:t>
      </w:r>
      <w:r w:rsidRPr="00B61114">
        <w:rPr>
          <w:sz w:val="16"/>
          <w:szCs w:val="16"/>
        </w:rPr>
        <w:t xml:space="preserve"> y Banco de México</w:t>
      </w:r>
      <w:r w:rsidR="003233A8" w:rsidRPr="00B61114">
        <w:rPr>
          <w:sz w:val="16"/>
          <w:szCs w:val="16"/>
        </w:rPr>
        <w:t xml:space="preserve">. </w:t>
      </w:r>
      <w:proofErr w:type="spellStart"/>
      <w:r w:rsidR="001B552E" w:rsidRPr="00B61114">
        <w:rPr>
          <w:smallCaps/>
          <w:sz w:val="16"/>
          <w:szCs w:val="16"/>
        </w:rPr>
        <w:t>emoe</w:t>
      </w:r>
      <w:proofErr w:type="spellEnd"/>
      <w:r w:rsidR="001B552E" w:rsidRPr="00B61114">
        <w:rPr>
          <w:sz w:val="16"/>
          <w:szCs w:val="16"/>
        </w:rPr>
        <w:t xml:space="preserve">. </w:t>
      </w:r>
      <w:r w:rsidR="001B552E" w:rsidRPr="00B61114">
        <w:rPr>
          <w:sz w:val="16"/>
          <w:szCs w:val="14"/>
        </w:rPr>
        <w:t>Cifras elaboradas mediante métodos econométricos, 202</w:t>
      </w:r>
      <w:r w:rsidR="0030429B">
        <w:rPr>
          <w:sz w:val="16"/>
          <w:szCs w:val="14"/>
        </w:rPr>
        <w:t>4</w:t>
      </w:r>
      <w:r w:rsidR="001B552E" w:rsidRPr="00B61114">
        <w:rPr>
          <w:sz w:val="16"/>
          <w:szCs w:val="14"/>
        </w:rPr>
        <w:t>.</w:t>
      </w:r>
    </w:p>
    <w:p w14:paraId="6834387E" w14:textId="7079248D" w:rsidR="00A47127" w:rsidRPr="00B61114" w:rsidRDefault="001A50CE" w:rsidP="00AF3DBB">
      <w:pPr>
        <w:widowControl w:val="0"/>
        <w:spacing w:before="720"/>
        <w:rPr>
          <w:spacing w:val="4"/>
        </w:rPr>
      </w:pPr>
      <w:r w:rsidRPr="00B61114">
        <w:t xml:space="preserve">Las siguientes gráficas muestran la evolución en los últimos años de las series desestacionalizada y de tendencia-ciclo de los componentes que integran el </w:t>
      </w:r>
      <w:proofErr w:type="spellStart"/>
      <w:r w:rsidR="001B552E" w:rsidRPr="00B61114">
        <w:rPr>
          <w:smallCaps/>
        </w:rPr>
        <w:t>ipm</w:t>
      </w:r>
      <w:proofErr w:type="spellEnd"/>
      <w:r w:rsidRPr="00B61114">
        <w:t>.</w:t>
      </w:r>
    </w:p>
    <w:p w14:paraId="4F95CB39" w14:textId="77777777" w:rsidR="00DF4364" w:rsidRPr="00B61114" w:rsidRDefault="00DF4364">
      <w:pPr>
        <w:jc w:val="left"/>
        <w:rPr>
          <w:bCs/>
          <w:kern w:val="32"/>
          <w:sz w:val="20"/>
        </w:rPr>
      </w:pPr>
      <w:r w:rsidRPr="00B61114">
        <w:rPr>
          <w:bCs/>
          <w:kern w:val="32"/>
          <w:sz w:val="20"/>
        </w:rPr>
        <w:br w:type="page"/>
      </w:r>
    </w:p>
    <w:p w14:paraId="036123DD" w14:textId="40A22079" w:rsidR="007F632F" w:rsidRPr="00B61114" w:rsidRDefault="007F632F" w:rsidP="003233A8">
      <w:pPr>
        <w:keepNext/>
        <w:keepLines/>
        <w:spacing w:before="200"/>
        <w:jc w:val="center"/>
        <w:outlineLvl w:val="0"/>
        <w:rPr>
          <w:bCs/>
          <w:kern w:val="32"/>
          <w:sz w:val="20"/>
        </w:rPr>
      </w:pPr>
      <w:r w:rsidRPr="00B61114">
        <w:rPr>
          <w:bCs/>
          <w:kern w:val="32"/>
          <w:sz w:val="20"/>
        </w:rPr>
        <w:lastRenderedPageBreak/>
        <w:t>Gráfica 2</w:t>
      </w:r>
    </w:p>
    <w:p w14:paraId="0F1944AD" w14:textId="46EEB443" w:rsidR="001B552E" w:rsidRPr="00B61114" w:rsidRDefault="00E44496" w:rsidP="007F632F">
      <w:pPr>
        <w:keepNext/>
        <w:keepLines/>
        <w:ind w:left="-284"/>
        <w:jc w:val="center"/>
        <w:rPr>
          <w:b/>
          <w:smallCaps/>
          <w:sz w:val="22"/>
        </w:rPr>
      </w:pPr>
      <w:r w:rsidRPr="00B61114">
        <w:rPr>
          <w:b/>
          <w:smallCaps/>
          <w:sz w:val="22"/>
        </w:rPr>
        <w:t>serie desestacionalizada y de tendencia-ciclo</w:t>
      </w:r>
    </w:p>
    <w:p w14:paraId="36683016" w14:textId="6F2674E2" w:rsidR="0007670F" w:rsidRPr="00B61114" w:rsidRDefault="00E44496" w:rsidP="007F632F">
      <w:pPr>
        <w:keepNext/>
        <w:keepLines/>
        <w:ind w:left="-284"/>
        <w:jc w:val="center"/>
        <w:rPr>
          <w:b/>
          <w:smallCaps/>
          <w:sz w:val="22"/>
        </w:rPr>
      </w:pPr>
      <w:r w:rsidRPr="00B61114">
        <w:rPr>
          <w:b/>
          <w:smallCaps/>
          <w:sz w:val="22"/>
        </w:rPr>
        <w:t>de los componentes del indicador de pedidos manufactureros</w:t>
      </w:r>
    </w:p>
    <w:p w14:paraId="1934C4E5" w14:textId="6707D926" w:rsidR="001B552E" w:rsidRPr="00B61114" w:rsidRDefault="001B552E" w:rsidP="007F632F">
      <w:pPr>
        <w:keepNext/>
        <w:keepLines/>
        <w:ind w:left="-284"/>
        <w:jc w:val="center"/>
        <w:rPr>
          <w:b/>
          <w:smallCaps/>
          <w:sz w:val="22"/>
        </w:rPr>
      </w:pPr>
      <w:r w:rsidRPr="00B61114">
        <w:rPr>
          <w:bCs/>
          <w:sz w:val="20"/>
          <w:szCs w:val="20"/>
        </w:rPr>
        <w:t xml:space="preserve">a </w:t>
      </w:r>
      <w:r w:rsidR="00E44496">
        <w:rPr>
          <w:bCs/>
          <w:sz w:val="20"/>
          <w:szCs w:val="20"/>
        </w:rPr>
        <w:t>febrero</w:t>
      </w:r>
      <w:r w:rsidRPr="00B61114">
        <w:rPr>
          <w:bCs/>
          <w:sz w:val="20"/>
          <w:szCs w:val="20"/>
        </w:rPr>
        <w:t xml:space="preserve"> de 202</w:t>
      </w:r>
      <w:r w:rsidR="0030429B">
        <w:rPr>
          <w:bCs/>
          <w:sz w:val="20"/>
          <w:szCs w:val="20"/>
        </w:rPr>
        <w:t>4</w:t>
      </w:r>
    </w:p>
    <w:p w14:paraId="66C4DCC4" w14:textId="7982DD3A" w:rsidR="003233A8" w:rsidRPr="00B61114" w:rsidRDefault="003233A8" w:rsidP="003233A8">
      <w:pPr>
        <w:widowControl w:val="0"/>
        <w:jc w:val="center"/>
        <w:outlineLvl w:val="0"/>
        <w:rPr>
          <w:b/>
          <w:smallCaps/>
          <w:sz w:val="22"/>
        </w:rPr>
      </w:pPr>
      <w:r w:rsidRPr="00B61114">
        <w:rPr>
          <w:kern w:val="32"/>
          <w:sz w:val="18"/>
          <w:szCs w:val="18"/>
        </w:rPr>
        <w:t>(</w:t>
      </w:r>
      <w:r w:rsidR="001B552E" w:rsidRPr="00B61114">
        <w:rPr>
          <w:kern w:val="32"/>
          <w:sz w:val="18"/>
          <w:szCs w:val="18"/>
        </w:rPr>
        <w:t>p</w:t>
      </w:r>
      <w:r w:rsidRPr="00B61114">
        <w:rPr>
          <w:kern w:val="32"/>
          <w:sz w:val="18"/>
          <w:szCs w:val="18"/>
        </w:rPr>
        <w:t>untos)</w:t>
      </w:r>
    </w:p>
    <w:tbl>
      <w:tblPr>
        <w:tblW w:w="5000" w:type="pct"/>
        <w:jc w:val="center"/>
        <w:tblBorders>
          <w:top w:val="single" w:sz="4" w:space="0" w:color="404040"/>
          <w:left w:val="single" w:sz="4" w:space="0" w:color="404040"/>
          <w:bottom w:val="single" w:sz="4" w:space="0" w:color="404040"/>
          <w:right w:val="single" w:sz="4" w:space="0" w:color="404040"/>
        </w:tblBorders>
        <w:tblCellMar>
          <w:left w:w="28" w:type="dxa"/>
          <w:right w:w="28" w:type="dxa"/>
        </w:tblCellMar>
        <w:tblLook w:val="00A0" w:firstRow="1" w:lastRow="0" w:firstColumn="1" w:lastColumn="0" w:noHBand="0" w:noVBand="0"/>
      </w:tblPr>
      <w:tblGrid>
        <w:gridCol w:w="4842"/>
        <w:gridCol w:w="146"/>
        <w:gridCol w:w="146"/>
        <w:gridCol w:w="4830"/>
      </w:tblGrid>
      <w:tr w:rsidR="007C285A" w:rsidRPr="00B61114" w14:paraId="3C102D18" w14:textId="77777777" w:rsidTr="005F7BC3">
        <w:trPr>
          <w:trHeight w:val="228"/>
          <w:jc w:val="center"/>
        </w:trPr>
        <w:tc>
          <w:tcPr>
            <w:tcW w:w="2425" w:type="pct"/>
            <w:shd w:val="clear" w:color="auto" w:fill="DBE5F1" w:themeFill="accent1" w:themeFillTint="33"/>
          </w:tcPr>
          <w:p w14:paraId="56098E90" w14:textId="77777777" w:rsidR="007C285A" w:rsidRPr="00B61114" w:rsidRDefault="007C285A">
            <w:pPr>
              <w:keepNext/>
              <w:keepLines/>
              <w:jc w:val="center"/>
              <w:rPr>
                <w:sz w:val="20"/>
                <w:szCs w:val="20"/>
              </w:rPr>
            </w:pPr>
            <w:r w:rsidRPr="00B61114">
              <w:rPr>
                <w:sz w:val="20"/>
                <w:szCs w:val="20"/>
              </w:rPr>
              <w:t>Pedidos</w:t>
            </w:r>
          </w:p>
        </w:tc>
        <w:tc>
          <w:tcPr>
            <w:tcW w:w="73" w:type="pct"/>
            <w:shd w:val="clear" w:color="auto" w:fill="auto"/>
          </w:tcPr>
          <w:p w14:paraId="47AF0A98" w14:textId="77777777" w:rsidR="007C285A" w:rsidRPr="00B61114" w:rsidRDefault="007C285A">
            <w:pPr>
              <w:keepNext/>
              <w:keepLines/>
              <w:jc w:val="center"/>
              <w:rPr>
                <w:sz w:val="20"/>
                <w:szCs w:val="20"/>
              </w:rPr>
            </w:pPr>
          </w:p>
        </w:tc>
        <w:tc>
          <w:tcPr>
            <w:tcW w:w="73" w:type="pct"/>
            <w:shd w:val="clear" w:color="auto" w:fill="DBE5F1" w:themeFill="accent1" w:themeFillTint="33"/>
          </w:tcPr>
          <w:p w14:paraId="65281E29" w14:textId="77777777" w:rsidR="007C285A" w:rsidRPr="00B61114" w:rsidRDefault="007C285A">
            <w:pPr>
              <w:keepNext/>
              <w:keepLines/>
              <w:jc w:val="center"/>
              <w:rPr>
                <w:sz w:val="20"/>
                <w:szCs w:val="20"/>
              </w:rPr>
            </w:pPr>
          </w:p>
        </w:tc>
        <w:tc>
          <w:tcPr>
            <w:tcW w:w="2428" w:type="pct"/>
            <w:shd w:val="clear" w:color="auto" w:fill="DBE5F1" w:themeFill="accent1" w:themeFillTint="33"/>
          </w:tcPr>
          <w:p w14:paraId="213652B8" w14:textId="71B91A05" w:rsidR="007C285A" w:rsidRPr="00B61114" w:rsidRDefault="007C285A">
            <w:pPr>
              <w:keepNext/>
              <w:keepLines/>
              <w:jc w:val="center"/>
              <w:rPr>
                <w:sz w:val="20"/>
                <w:szCs w:val="20"/>
              </w:rPr>
            </w:pPr>
            <w:r w:rsidRPr="00B61114">
              <w:rPr>
                <w:sz w:val="20"/>
                <w:szCs w:val="20"/>
              </w:rPr>
              <w:t>Producción</w:t>
            </w:r>
          </w:p>
        </w:tc>
      </w:tr>
      <w:tr w:rsidR="007C285A" w:rsidRPr="00B61114" w14:paraId="7485AD56" w14:textId="77777777" w:rsidTr="005F7BC3">
        <w:tblPrEx>
          <w:tblCellMar>
            <w:left w:w="70" w:type="dxa"/>
            <w:right w:w="70" w:type="dxa"/>
          </w:tblCellMar>
        </w:tblPrEx>
        <w:trPr>
          <w:trHeight w:val="3025"/>
          <w:jc w:val="center"/>
        </w:trPr>
        <w:tc>
          <w:tcPr>
            <w:tcW w:w="2425" w:type="pct"/>
          </w:tcPr>
          <w:p w14:paraId="539EB9CD" w14:textId="0E38D3A0" w:rsidR="007C285A" w:rsidRPr="00B61114" w:rsidRDefault="003C54E4">
            <w:pPr>
              <w:keepNext/>
              <w:keepLines/>
              <w:ind w:left="-75"/>
              <w:jc w:val="center"/>
            </w:pPr>
            <w:r>
              <w:rPr>
                <w:noProof/>
              </w:rPr>
              <w:drawing>
                <wp:inline distT="0" distB="0" distL="0" distR="0" wp14:anchorId="351B6011" wp14:editId="55B97A99">
                  <wp:extent cx="3060000" cy="2016000"/>
                  <wp:effectExtent l="0" t="0" r="7620" b="3810"/>
                  <wp:docPr id="1134918655"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73" w:type="pct"/>
          </w:tcPr>
          <w:p w14:paraId="0B4ABD46" w14:textId="77777777" w:rsidR="007C285A" w:rsidRPr="00B61114" w:rsidRDefault="007C285A">
            <w:pPr>
              <w:keepNext/>
              <w:keepLines/>
              <w:jc w:val="center"/>
              <w:rPr>
                <w:noProof/>
                <w:lang w:eastAsia="es-MX"/>
              </w:rPr>
            </w:pPr>
          </w:p>
        </w:tc>
        <w:tc>
          <w:tcPr>
            <w:tcW w:w="73" w:type="pct"/>
          </w:tcPr>
          <w:p w14:paraId="332EA684" w14:textId="77777777" w:rsidR="007C285A" w:rsidRPr="00B61114" w:rsidRDefault="007C285A">
            <w:pPr>
              <w:keepNext/>
              <w:keepLines/>
              <w:ind w:left="-70"/>
              <w:jc w:val="center"/>
              <w:rPr>
                <w:noProof/>
              </w:rPr>
            </w:pPr>
          </w:p>
        </w:tc>
        <w:tc>
          <w:tcPr>
            <w:tcW w:w="2428" w:type="pct"/>
          </w:tcPr>
          <w:p w14:paraId="4D4BEB10" w14:textId="7BF0DE2E" w:rsidR="007C285A" w:rsidRPr="00B61114" w:rsidRDefault="003C54E4">
            <w:pPr>
              <w:keepNext/>
              <w:keepLines/>
              <w:ind w:left="-70"/>
              <w:jc w:val="center"/>
            </w:pPr>
            <w:r>
              <w:rPr>
                <w:noProof/>
              </w:rPr>
              <w:drawing>
                <wp:inline distT="0" distB="0" distL="0" distR="0" wp14:anchorId="62887D20" wp14:editId="0A6D3501">
                  <wp:extent cx="3060000" cy="2016000"/>
                  <wp:effectExtent l="0" t="0" r="0" b="3810"/>
                  <wp:docPr id="1604503242" name="Gráfico 1">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7C285A" w:rsidRPr="00B61114" w14:paraId="4451BE24" w14:textId="77777777" w:rsidTr="005F7BC3">
        <w:trPr>
          <w:trHeight w:val="228"/>
          <w:jc w:val="center"/>
        </w:trPr>
        <w:tc>
          <w:tcPr>
            <w:tcW w:w="2425" w:type="pct"/>
            <w:shd w:val="clear" w:color="auto" w:fill="DBE5F1" w:themeFill="accent1" w:themeFillTint="33"/>
            <w:vAlign w:val="center"/>
          </w:tcPr>
          <w:p w14:paraId="4757A4FE" w14:textId="77777777" w:rsidR="007C285A" w:rsidRPr="00B61114" w:rsidRDefault="007C285A">
            <w:pPr>
              <w:keepNext/>
              <w:keepLines/>
              <w:jc w:val="center"/>
              <w:rPr>
                <w:sz w:val="20"/>
                <w:szCs w:val="20"/>
              </w:rPr>
            </w:pPr>
            <w:r w:rsidRPr="00B61114">
              <w:rPr>
                <w:sz w:val="20"/>
                <w:szCs w:val="20"/>
              </w:rPr>
              <w:t>Personal ocupado total</w:t>
            </w:r>
          </w:p>
        </w:tc>
        <w:tc>
          <w:tcPr>
            <w:tcW w:w="73" w:type="pct"/>
            <w:shd w:val="clear" w:color="auto" w:fill="auto"/>
          </w:tcPr>
          <w:p w14:paraId="08617BB8" w14:textId="77777777" w:rsidR="007C285A" w:rsidRPr="00B61114" w:rsidRDefault="007C285A">
            <w:pPr>
              <w:keepNext/>
              <w:keepLines/>
              <w:jc w:val="center"/>
              <w:rPr>
                <w:sz w:val="20"/>
                <w:szCs w:val="20"/>
              </w:rPr>
            </w:pPr>
          </w:p>
        </w:tc>
        <w:tc>
          <w:tcPr>
            <w:tcW w:w="73" w:type="pct"/>
            <w:shd w:val="clear" w:color="auto" w:fill="DBE5F1" w:themeFill="accent1" w:themeFillTint="33"/>
          </w:tcPr>
          <w:p w14:paraId="477ED767" w14:textId="77777777" w:rsidR="007C285A" w:rsidRPr="00B61114" w:rsidRDefault="007C285A">
            <w:pPr>
              <w:keepNext/>
              <w:keepLines/>
              <w:jc w:val="center"/>
              <w:rPr>
                <w:sz w:val="20"/>
                <w:szCs w:val="20"/>
              </w:rPr>
            </w:pPr>
          </w:p>
        </w:tc>
        <w:tc>
          <w:tcPr>
            <w:tcW w:w="2428" w:type="pct"/>
            <w:shd w:val="clear" w:color="auto" w:fill="DBE5F1" w:themeFill="accent1" w:themeFillTint="33"/>
          </w:tcPr>
          <w:p w14:paraId="1ED3F459" w14:textId="1FB6EBC0" w:rsidR="007C285A" w:rsidRPr="00B61114" w:rsidRDefault="007C285A">
            <w:pPr>
              <w:keepNext/>
              <w:keepLines/>
              <w:jc w:val="center"/>
              <w:rPr>
                <w:sz w:val="20"/>
                <w:szCs w:val="20"/>
              </w:rPr>
            </w:pPr>
            <w:r w:rsidRPr="00B61114">
              <w:rPr>
                <w:sz w:val="20"/>
                <w:szCs w:val="20"/>
              </w:rPr>
              <w:t>Oportunidad en la entrega de insumos de proveedores</w:t>
            </w:r>
          </w:p>
        </w:tc>
      </w:tr>
      <w:tr w:rsidR="007C285A" w:rsidRPr="00B61114" w14:paraId="7248E422" w14:textId="77777777" w:rsidTr="005F7BC3">
        <w:tblPrEx>
          <w:tblCellMar>
            <w:left w:w="70" w:type="dxa"/>
            <w:right w:w="70" w:type="dxa"/>
          </w:tblCellMar>
        </w:tblPrEx>
        <w:trPr>
          <w:trHeight w:val="3025"/>
          <w:jc w:val="center"/>
        </w:trPr>
        <w:tc>
          <w:tcPr>
            <w:tcW w:w="2425" w:type="pct"/>
          </w:tcPr>
          <w:p w14:paraId="0EF853AE" w14:textId="661245FA" w:rsidR="007C285A" w:rsidRPr="00B61114" w:rsidRDefault="003C54E4">
            <w:pPr>
              <w:keepNext/>
              <w:keepLines/>
              <w:jc w:val="center"/>
              <w:rPr>
                <w:noProof/>
                <w:lang w:eastAsia="es-MX"/>
              </w:rPr>
            </w:pPr>
            <w:r>
              <w:rPr>
                <w:noProof/>
              </w:rPr>
              <w:drawing>
                <wp:inline distT="0" distB="0" distL="0" distR="0" wp14:anchorId="66137776" wp14:editId="33494C21">
                  <wp:extent cx="3060000" cy="2016000"/>
                  <wp:effectExtent l="0" t="0" r="7620" b="3810"/>
                  <wp:docPr id="955015005" name="Gráfico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73" w:type="pct"/>
          </w:tcPr>
          <w:p w14:paraId="67AF0390" w14:textId="77777777" w:rsidR="007C285A" w:rsidRPr="00B61114" w:rsidRDefault="007C285A">
            <w:pPr>
              <w:keepNext/>
              <w:keepLines/>
              <w:jc w:val="center"/>
              <w:rPr>
                <w:noProof/>
                <w:lang w:eastAsia="es-MX"/>
              </w:rPr>
            </w:pPr>
          </w:p>
        </w:tc>
        <w:tc>
          <w:tcPr>
            <w:tcW w:w="73" w:type="pct"/>
          </w:tcPr>
          <w:p w14:paraId="564E979D" w14:textId="77777777" w:rsidR="007C285A" w:rsidRPr="00B61114" w:rsidRDefault="007C285A">
            <w:pPr>
              <w:keepNext/>
              <w:keepLines/>
              <w:jc w:val="center"/>
              <w:rPr>
                <w:noProof/>
              </w:rPr>
            </w:pPr>
          </w:p>
        </w:tc>
        <w:tc>
          <w:tcPr>
            <w:tcW w:w="2428" w:type="pct"/>
          </w:tcPr>
          <w:p w14:paraId="4028A4D9" w14:textId="59EB4ABE" w:rsidR="007C285A" w:rsidRPr="00B61114" w:rsidRDefault="003C54E4">
            <w:pPr>
              <w:keepNext/>
              <w:keepLines/>
              <w:jc w:val="center"/>
            </w:pPr>
            <w:r>
              <w:rPr>
                <w:noProof/>
              </w:rPr>
              <w:drawing>
                <wp:inline distT="0" distB="0" distL="0" distR="0" wp14:anchorId="329F305E" wp14:editId="2A5FA256">
                  <wp:extent cx="3060000" cy="2016000"/>
                  <wp:effectExtent l="0" t="0" r="0" b="3810"/>
                  <wp:docPr id="1477733977" name="Gráfico 1">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401394" w:rsidRPr="00B61114" w14:paraId="453BD322" w14:textId="77777777" w:rsidTr="00401394">
        <w:trPr>
          <w:trHeight w:val="228"/>
          <w:jc w:val="center"/>
        </w:trPr>
        <w:tc>
          <w:tcPr>
            <w:tcW w:w="5000" w:type="pct"/>
            <w:gridSpan w:val="4"/>
            <w:shd w:val="clear" w:color="auto" w:fill="DBE5F1" w:themeFill="accent1" w:themeFillTint="33"/>
          </w:tcPr>
          <w:p w14:paraId="7164DB3E" w14:textId="201B5281" w:rsidR="00401394" w:rsidRPr="00B61114" w:rsidRDefault="00401394">
            <w:pPr>
              <w:keepNext/>
              <w:keepLines/>
              <w:jc w:val="center"/>
              <w:rPr>
                <w:sz w:val="20"/>
                <w:szCs w:val="20"/>
              </w:rPr>
            </w:pPr>
            <w:r w:rsidRPr="00B61114">
              <w:rPr>
                <w:sz w:val="20"/>
                <w:szCs w:val="20"/>
              </w:rPr>
              <w:t>Inventarios de insumos</w:t>
            </w:r>
          </w:p>
        </w:tc>
      </w:tr>
      <w:tr w:rsidR="00401394" w:rsidRPr="00B61114" w14:paraId="0D254B69" w14:textId="77777777" w:rsidTr="005F7BC3">
        <w:tblPrEx>
          <w:tblCellMar>
            <w:left w:w="70" w:type="dxa"/>
            <w:right w:w="70" w:type="dxa"/>
          </w:tblCellMar>
        </w:tblPrEx>
        <w:trPr>
          <w:trHeight w:val="3025"/>
          <w:jc w:val="center"/>
        </w:trPr>
        <w:tc>
          <w:tcPr>
            <w:tcW w:w="5000" w:type="pct"/>
            <w:gridSpan w:val="4"/>
          </w:tcPr>
          <w:p w14:paraId="231F91B3" w14:textId="185D3D4F" w:rsidR="00401394" w:rsidRPr="00B61114" w:rsidRDefault="003C54E4" w:rsidP="0024171E">
            <w:pPr>
              <w:keepNext/>
              <w:keepLines/>
              <w:widowControl w:val="0"/>
              <w:jc w:val="center"/>
            </w:pPr>
            <w:r>
              <w:rPr>
                <w:noProof/>
              </w:rPr>
              <w:drawing>
                <wp:inline distT="0" distB="0" distL="0" distR="0" wp14:anchorId="4C05CBC0" wp14:editId="006D51BB">
                  <wp:extent cx="3060000" cy="2016000"/>
                  <wp:effectExtent l="0" t="0" r="0" b="3810"/>
                  <wp:docPr id="383230449" name="Gráfico 1">
                    <a:extLst xmlns:a="http://schemas.openxmlformats.org/drawingml/2006/main">
                      <a:ext uri="{FF2B5EF4-FFF2-40B4-BE49-F238E27FC236}">
                        <a16:creationId xmlns:a16="http://schemas.microsoft.com/office/drawing/2014/main" id="{00000000-0008-0000-0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7C285A" w:rsidRPr="00B61114" w14:paraId="7B0D2D47" w14:textId="77777777" w:rsidTr="005F7BC3">
        <w:trPr>
          <w:trHeight w:val="201"/>
          <w:jc w:val="center"/>
        </w:trPr>
        <w:tc>
          <w:tcPr>
            <w:tcW w:w="2425" w:type="pct"/>
          </w:tcPr>
          <w:p w14:paraId="116DD134" w14:textId="77777777" w:rsidR="007C285A" w:rsidRPr="00B61114" w:rsidRDefault="007C285A" w:rsidP="00AB6F59">
            <w:pPr>
              <w:widowControl w:val="0"/>
              <w:spacing w:before="20"/>
              <w:ind w:left="79"/>
              <w:jc w:val="left"/>
              <w:outlineLvl w:val="0"/>
              <w:rPr>
                <w:noProof/>
                <w:sz w:val="16"/>
                <w:szCs w:val="16"/>
                <w:lang w:eastAsia="es-MX"/>
              </w:rPr>
            </w:pPr>
          </w:p>
        </w:tc>
        <w:tc>
          <w:tcPr>
            <w:tcW w:w="2575" w:type="pct"/>
            <w:gridSpan w:val="3"/>
          </w:tcPr>
          <w:p w14:paraId="6ACAA447" w14:textId="09656203" w:rsidR="007C285A" w:rsidRPr="00B61114" w:rsidRDefault="007C285A" w:rsidP="00AB6F59">
            <w:pPr>
              <w:widowControl w:val="0"/>
              <w:spacing w:before="20"/>
              <w:ind w:left="79"/>
              <w:jc w:val="left"/>
              <w:outlineLvl w:val="0"/>
              <w:rPr>
                <w:noProof/>
                <w:sz w:val="16"/>
                <w:szCs w:val="16"/>
                <w:lang w:eastAsia="es-MX"/>
              </w:rPr>
            </w:pPr>
          </w:p>
        </w:tc>
      </w:tr>
    </w:tbl>
    <w:p w14:paraId="5B841518" w14:textId="17E1F62A" w:rsidR="00DF4364" w:rsidRPr="00B61114" w:rsidRDefault="00F258FF" w:rsidP="008F3183">
      <w:pPr>
        <w:widowControl w:val="0"/>
        <w:tabs>
          <w:tab w:val="left" w:pos="709"/>
        </w:tabs>
        <w:ind w:left="142"/>
        <w:rPr>
          <w:sz w:val="16"/>
          <w:szCs w:val="16"/>
        </w:rPr>
      </w:pPr>
      <w:r w:rsidRPr="00B61114">
        <w:rPr>
          <w:sz w:val="16"/>
          <w:szCs w:val="16"/>
        </w:rPr>
        <w:t>Fuente:</w:t>
      </w:r>
      <w:r w:rsidR="008F3183">
        <w:rPr>
          <w:sz w:val="16"/>
          <w:szCs w:val="16"/>
        </w:rPr>
        <w:t xml:space="preserve"> </w:t>
      </w:r>
      <w:r w:rsidR="001B552E" w:rsidRPr="00B61114">
        <w:rPr>
          <w:smallCaps/>
          <w:sz w:val="16"/>
          <w:szCs w:val="16"/>
        </w:rPr>
        <w:t>inegi</w:t>
      </w:r>
      <w:r w:rsidR="001B552E" w:rsidRPr="00B61114">
        <w:rPr>
          <w:sz w:val="16"/>
          <w:szCs w:val="16"/>
        </w:rPr>
        <w:t xml:space="preserve"> y Banco de México. </w:t>
      </w:r>
      <w:proofErr w:type="spellStart"/>
      <w:r w:rsidR="001B552E" w:rsidRPr="00B61114">
        <w:rPr>
          <w:smallCaps/>
          <w:sz w:val="16"/>
          <w:szCs w:val="16"/>
        </w:rPr>
        <w:t>emoe</w:t>
      </w:r>
      <w:proofErr w:type="spellEnd"/>
      <w:r w:rsidR="001B552E" w:rsidRPr="00B61114">
        <w:rPr>
          <w:sz w:val="16"/>
          <w:szCs w:val="16"/>
        </w:rPr>
        <w:t xml:space="preserve">. </w:t>
      </w:r>
      <w:r w:rsidR="001B552E" w:rsidRPr="00B61114">
        <w:rPr>
          <w:sz w:val="16"/>
          <w:szCs w:val="14"/>
        </w:rPr>
        <w:t>Series elaboradas mediante métodos econométricos, 202</w:t>
      </w:r>
      <w:r w:rsidR="0030429B">
        <w:rPr>
          <w:sz w:val="16"/>
          <w:szCs w:val="14"/>
        </w:rPr>
        <w:t>4</w:t>
      </w:r>
      <w:r w:rsidR="001B552E" w:rsidRPr="00B61114">
        <w:rPr>
          <w:sz w:val="16"/>
          <w:szCs w:val="14"/>
        </w:rPr>
        <w:t>.</w:t>
      </w:r>
    </w:p>
    <w:p w14:paraId="4D1DC43A" w14:textId="77777777" w:rsidR="00DF4364" w:rsidRPr="00B61114" w:rsidRDefault="00DF4364">
      <w:pPr>
        <w:jc w:val="left"/>
        <w:rPr>
          <w:sz w:val="16"/>
          <w:szCs w:val="16"/>
        </w:rPr>
      </w:pPr>
      <w:r w:rsidRPr="00B61114">
        <w:rPr>
          <w:sz w:val="16"/>
          <w:szCs w:val="16"/>
        </w:rPr>
        <w:br w:type="page"/>
      </w:r>
    </w:p>
    <w:p w14:paraId="5BB86E63" w14:textId="4CCD9E7A" w:rsidR="00E379BD" w:rsidRPr="00B61114" w:rsidRDefault="00E44496" w:rsidP="00D00E98">
      <w:pPr>
        <w:pStyle w:val="Prrafodelista"/>
        <w:numPr>
          <w:ilvl w:val="0"/>
          <w:numId w:val="47"/>
        </w:numPr>
        <w:spacing w:before="480"/>
        <w:ind w:left="357" w:hanging="357"/>
        <w:jc w:val="center"/>
        <w:rPr>
          <w:b/>
          <w:smallCaps/>
          <w:szCs w:val="22"/>
        </w:rPr>
      </w:pPr>
      <w:r w:rsidRPr="00B61114">
        <w:rPr>
          <w:b/>
          <w:smallCaps/>
          <w:szCs w:val="22"/>
        </w:rPr>
        <w:lastRenderedPageBreak/>
        <w:t>cifras originales</w:t>
      </w:r>
    </w:p>
    <w:p w14:paraId="5E78A0CC" w14:textId="276DF985" w:rsidR="00A47127" w:rsidRPr="00B61114" w:rsidRDefault="001A50CE" w:rsidP="00ED4D2F">
      <w:pPr>
        <w:pStyle w:val="p0"/>
        <w:keepLines w:val="0"/>
        <w:spacing w:after="300"/>
        <w:rPr>
          <w:rFonts w:ascii="Arial" w:hAnsi="Arial"/>
          <w:snapToGrid/>
          <w:color w:val="auto"/>
          <w:lang w:val="es-ES"/>
        </w:rPr>
      </w:pPr>
      <w:r w:rsidRPr="00B61114">
        <w:rPr>
          <w:rFonts w:ascii="Arial" w:hAnsi="Arial"/>
          <w:snapToGrid/>
          <w:color w:val="auto"/>
          <w:lang w:val="es-ES"/>
        </w:rPr>
        <w:t xml:space="preserve">En </w:t>
      </w:r>
      <w:r w:rsidR="00511AEF" w:rsidRPr="00B61114">
        <w:rPr>
          <w:rFonts w:ascii="Arial" w:hAnsi="Arial"/>
          <w:snapToGrid/>
          <w:color w:val="auto"/>
          <w:lang w:val="es-ES"/>
        </w:rPr>
        <w:t xml:space="preserve">el </w:t>
      </w:r>
      <w:r w:rsidR="00CF0F39">
        <w:rPr>
          <w:rFonts w:ascii="Arial" w:hAnsi="Arial"/>
          <w:snapToGrid/>
          <w:color w:val="auto"/>
          <w:lang w:val="es-ES"/>
        </w:rPr>
        <w:t xml:space="preserve">mes </w:t>
      </w:r>
      <w:r w:rsidR="004854AD">
        <w:rPr>
          <w:rFonts w:ascii="Arial" w:hAnsi="Arial"/>
          <w:snapToGrid/>
          <w:color w:val="auto"/>
          <w:lang w:val="es-ES"/>
        </w:rPr>
        <w:t>de referencia</w:t>
      </w:r>
      <w:r w:rsidRPr="00B61114">
        <w:rPr>
          <w:rFonts w:ascii="Arial" w:hAnsi="Arial"/>
          <w:snapToGrid/>
          <w:color w:val="auto"/>
          <w:lang w:val="es-ES"/>
        </w:rPr>
        <w:t xml:space="preserve">, el </w:t>
      </w:r>
      <w:proofErr w:type="spellStart"/>
      <w:r w:rsidR="001B552E" w:rsidRPr="00B61114">
        <w:rPr>
          <w:rFonts w:ascii="Arial" w:hAnsi="Arial"/>
          <w:smallCaps/>
          <w:snapToGrid/>
          <w:color w:val="auto"/>
          <w:lang w:val="es-ES"/>
        </w:rPr>
        <w:t>ipm</w:t>
      </w:r>
      <w:proofErr w:type="spellEnd"/>
      <w:r w:rsidRPr="00B61114">
        <w:rPr>
          <w:rFonts w:ascii="Arial" w:hAnsi="Arial"/>
          <w:snapToGrid/>
          <w:color w:val="auto"/>
          <w:lang w:val="es-ES"/>
        </w:rPr>
        <w:t xml:space="preserve"> se </w:t>
      </w:r>
      <w:r w:rsidR="002B64AA">
        <w:rPr>
          <w:rFonts w:ascii="Arial" w:hAnsi="Arial"/>
          <w:snapToGrid/>
          <w:color w:val="auto"/>
          <w:lang w:val="es-ES"/>
        </w:rPr>
        <w:t>situó</w:t>
      </w:r>
      <w:r w:rsidR="00CF0F39">
        <w:rPr>
          <w:rFonts w:ascii="Arial" w:hAnsi="Arial"/>
          <w:snapToGrid/>
          <w:color w:val="auto"/>
          <w:lang w:val="es-ES"/>
        </w:rPr>
        <w:t xml:space="preserve"> </w:t>
      </w:r>
      <w:r w:rsidRPr="00B61114">
        <w:rPr>
          <w:rFonts w:ascii="Arial" w:hAnsi="Arial"/>
          <w:snapToGrid/>
          <w:color w:val="auto"/>
          <w:lang w:val="es-ES"/>
        </w:rPr>
        <w:t xml:space="preserve">en </w:t>
      </w:r>
      <w:r w:rsidR="00A11A16">
        <w:rPr>
          <w:rFonts w:ascii="Arial" w:hAnsi="Arial"/>
          <w:snapToGrid/>
          <w:color w:val="auto"/>
          <w:lang w:val="es-ES"/>
        </w:rPr>
        <w:t>5</w:t>
      </w:r>
      <w:r w:rsidR="004854AD">
        <w:rPr>
          <w:rFonts w:ascii="Arial" w:hAnsi="Arial"/>
          <w:snapToGrid/>
          <w:color w:val="auto"/>
          <w:lang w:val="es-ES"/>
        </w:rPr>
        <w:t>3.5</w:t>
      </w:r>
      <w:r w:rsidRPr="00B61114">
        <w:rPr>
          <w:rFonts w:ascii="Arial" w:hAnsi="Arial"/>
          <w:snapToGrid/>
          <w:color w:val="auto"/>
          <w:lang w:val="es-ES"/>
        </w:rPr>
        <w:t xml:space="preserve"> puntos </w:t>
      </w:r>
      <w:r w:rsidR="00E7730D" w:rsidRPr="00B61114">
        <w:rPr>
          <w:rFonts w:ascii="Arial" w:hAnsi="Arial"/>
          <w:snapToGrid/>
          <w:color w:val="auto"/>
          <w:lang w:val="es-ES"/>
        </w:rPr>
        <w:t xml:space="preserve">con </w:t>
      </w:r>
      <w:r w:rsidR="00A11A16">
        <w:rPr>
          <w:rFonts w:ascii="Arial" w:hAnsi="Arial"/>
          <w:snapToGrid/>
          <w:color w:val="auto"/>
          <w:lang w:val="es-ES"/>
        </w:rPr>
        <w:t>datos sin ajuste estacional</w:t>
      </w:r>
      <w:r w:rsidR="00E7730D" w:rsidRPr="00B61114">
        <w:rPr>
          <w:rFonts w:ascii="Arial" w:hAnsi="Arial"/>
          <w:snapToGrid/>
          <w:color w:val="auto"/>
          <w:lang w:val="es-ES"/>
        </w:rPr>
        <w:t xml:space="preserve">, </w:t>
      </w:r>
      <w:r w:rsidR="00511AEF" w:rsidRPr="00B61114">
        <w:rPr>
          <w:rFonts w:ascii="Arial" w:hAnsi="Arial"/>
          <w:snapToGrid/>
          <w:color w:val="auto"/>
          <w:lang w:val="es-ES"/>
        </w:rPr>
        <w:t>lo que</w:t>
      </w:r>
      <w:r w:rsidR="00CF0F39">
        <w:rPr>
          <w:rFonts w:ascii="Arial" w:hAnsi="Arial"/>
          <w:snapToGrid/>
          <w:color w:val="auto"/>
          <w:lang w:val="es-ES"/>
        </w:rPr>
        <w:t xml:space="preserve"> </w:t>
      </w:r>
      <w:r w:rsidR="004854AD">
        <w:rPr>
          <w:rFonts w:ascii="Arial" w:hAnsi="Arial"/>
          <w:snapToGrid/>
          <w:color w:val="auto"/>
          <w:lang w:val="es-ES"/>
        </w:rPr>
        <w:t>implicó</w:t>
      </w:r>
      <w:r w:rsidR="00511AEF" w:rsidRPr="00B61114">
        <w:rPr>
          <w:rFonts w:ascii="Arial" w:hAnsi="Arial"/>
          <w:snapToGrid/>
          <w:color w:val="auto"/>
          <w:lang w:val="es-ES"/>
        </w:rPr>
        <w:t xml:space="preserve"> un</w:t>
      </w:r>
      <w:r w:rsidR="00A11A16">
        <w:rPr>
          <w:rFonts w:ascii="Arial" w:hAnsi="Arial"/>
          <w:snapToGrid/>
          <w:color w:val="auto"/>
          <w:lang w:val="es-ES"/>
        </w:rPr>
        <w:t xml:space="preserve"> </w:t>
      </w:r>
      <w:r w:rsidR="004854AD">
        <w:rPr>
          <w:rFonts w:ascii="Arial" w:hAnsi="Arial"/>
          <w:snapToGrid/>
          <w:color w:val="auto"/>
          <w:lang w:val="es-ES"/>
        </w:rPr>
        <w:t>alza</w:t>
      </w:r>
      <w:r w:rsidR="00511AEF" w:rsidRPr="00B61114">
        <w:rPr>
          <w:rFonts w:ascii="Arial" w:hAnsi="Arial"/>
          <w:snapToGrid/>
          <w:color w:val="auto"/>
          <w:lang w:val="es-ES"/>
        </w:rPr>
        <w:t xml:space="preserve"> anual de </w:t>
      </w:r>
      <w:r w:rsidR="00A11A16">
        <w:rPr>
          <w:rFonts w:ascii="Arial" w:hAnsi="Arial"/>
          <w:snapToGrid/>
          <w:color w:val="auto"/>
          <w:lang w:val="es-ES"/>
        </w:rPr>
        <w:t>1.</w:t>
      </w:r>
      <w:r w:rsidR="004854AD">
        <w:rPr>
          <w:rFonts w:ascii="Arial" w:hAnsi="Arial"/>
          <w:snapToGrid/>
          <w:color w:val="auto"/>
          <w:lang w:val="es-ES"/>
        </w:rPr>
        <w:t>8</w:t>
      </w:r>
      <w:r w:rsidR="00511AEF" w:rsidRPr="00B61114">
        <w:rPr>
          <w:rFonts w:ascii="Arial" w:hAnsi="Arial"/>
          <w:snapToGrid/>
          <w:color w:val="auto"/>
          <w:lang w:val="es-ES"/>
        </w:rPr>
        <w:t xml:space="preserve"> </w:t>
      </w:r>
      <w:r w:rsidR="00E7730D" w:rsidRPr="00B61114">
        <w:rPr>
          <w:rFonts w:ascii="Arial" w:hAnsi="Arial"/>
          <w:snapToGrid/>
          <w:color w:val="auto"/>
          <w:lang w:val="es-ES"/>
        </w:rPr>
        <w:t>puntos</w:t>
      </w:r>
      <w:r w:rsidRPr="00B61114">
        <w:rPr>
          <w:rFonts w:ascii="Arial" w:hAnsi="Arial"/>
          <w:snapToGrid/>
          <w:color w:val="auto"/>
          <w:lang w:val="es-ES"/>
        </w:rPr>
        <w:t>.</w:t>
      </w:r>
    </w:p>
    <w:p w14:paraId="225CAEC1" w14:textId="3CF835A0" w:rsidR="007F632F" w:rsidRPr="00B61114" w:rsidRDefault="007F632F" w:rsidP="00AF3DBB">
      <w:pPr>
        <w:widowControl w:val="0"/>
        <w:spacing w:before="480"/>
        <w:jc w:val="center"/>
        <w:rPr>
          <w:sz w:val="20"/>
        </w:rPr>
      </w:pPr>
      <w:r w:rsidRPr="00B61114">
        <w:rPr>
          <w:sz w:val="20"/>
        </w:rPr>
        <w:t>Gráfica 3</w:t>
      </w:r>
    </w:p>
    <w:p w14:paraId="3463B14A" w14:textId="159B9EAE" w:rsidR="00ED4D2F" w:rsidRPr="00B61114" w:rsidRDefault="00E44496" w:rsidP="00AF3DBB">
      <w:pPr>
        <w:widowControl w:val="0"/>
        <w:jc w:val="center"/>
        <w:rPr>
          <w:b/>
          <w:smallCaps/>
          <w:sz w:val="22"/>
        </w:rPr>
      </w:pPr>
      <w:r w:rsidRPr="00B61114">
        <w:rPr>
          <w:b/>
          <w:smallCaps/>
          <w:sz w:val="22"/>
        </w:rPr>
        <w:t>serie original</w:t>
      </w:r>
      <w:r>
        <w:rPr>
          <w:b/>
          <w:smallCaps/>
          <w:sz w:val="22"/>
        </w:rPr>
        <w:t xml:space="preserve"> </w:t>
      </w:r>
      <w:r w:rsidRPr="00B61114">
        <w:rPr>
          <w:b/>
          <w:smallCaps/>
          <w:sz w:val="22"/>
        </w:rPr>
        <w:t>del indicador de pedidos manufactureros</w:t>
      </w:r>
    </w:p>
    <w:p w14:paraId="686EDFE0" w14:textId="25E188CF" w:rsidR="001B552E" w:rsidRPr="00B61114" w:rsidRDefault="001B552E" w:rsidP="00AF3DBB">
      <w:pPr>
        <w:widowControl w:val="0"/>
        <w:jc w:val="center"/>
        <w:rPr>
          <w:b/>
          <w:smallCaps/>
          <w:sz w:val="22"/>
        </w:rPr>
      </w:pPr>
      <w:r w:rsidRPr="00B61114">
        <w:rPr>
          <w:bCs/>
          <w:sz w:val="20"/>
          <w:szCs w:val="20"/>
        </w:rPr>
        <w:t xml:space="preserve">a </w:t>
      </w:r>
      <w:r w:rsidR="00EA663E">
        <w:rPr>
          <w:bCs/>
          <w:sz w:val="20"/>
          <w:szCs w:val="20"/>
        </w:rPr>
        <w:t>febrero</w:t>
      </w:r>
      <w:r w:rsidRPr="00B61114">
        <w:rPr>
          <w:bCs/>
          <w:sz w:val="20"/>
          <w:szCs w:val="20"/>
        </w:rPr>
        <w:t xml:space="preserve"> de 202</w:t>
      </w:r>
      <w:r w:rsidR="0030429B">
        <w:rPr>
          <w:bCs/>
          <w:sz w:val="20"/>
          <w:szCs w:val="20"/>
        </w:rPr>
        <w:t>4</w:t>
      </w:r>
    </w:p>
    <w:p w14:paraId="32CEFEA8" w14:textId="457B806E" w:rsidR="00ED4D2F" w:rsidRPr="00B61114" w:rsidRDefault="00ED4D2F" w:rsidP="00ED4D2F">
      <w:pPr>
        <w:widowControl w:val="0"/>
        <w:jc w:val="center"/>
        <w:outlineLvl w:val="0"/>
        <w:rPr>
          <w:b/>
          <w:smallCaps/>
          <w:sz w:val="22"/>
        </w:rPr>
      </w:pPr>
      <w:r w:rsidRPr="00B61114">
        <w:rPr>
          <w:kern w:val="32"/>
          <w:sz w:val="18"/>
          <w:szCs w:val="18"/>
        </w:rPr>
        <w:t>(</w:t>
      </w:r>
      <w:r w:rsidR="001B552E" w:rsidRPr="00B61114">
        <w:rPr>
          <w:kern w:val="32"/>
          <w:sz w:val="18"/>
          <w:szCs w:val="18"/>
        </w:rPr>
        <w:t>p</w:t>
      </w:r>
      <w:r w:rsidRPr="00B61114">
        <w:rPr>
          <w:kern w:val="32"/>
          <w:sz w:val="18"/>
          <w:szCs w:val="18"/>
        </w:rPr>
        <w:t>untos)</w:t>
      </w:r>
    </w:p>
    <w:p w14:paraId="5E3700A9" w14:textId="775C99DF" w:rsidR="0007670F" w:rsidRPr="00B61114" w:rsidRDefault="0083395B" w:rsidP="28941137">
      <w:pPr>
        <w:widowControl w:val="0"/>
        <w:spacing w:after="20"/>
        <w:jc w:val="center"/>
        <w:rPr>
          <w:b/>
          <w:bCs/>
          <w:smallCaps/>
          <w:sz w:val="20"/>
          <w:szCs w:val="20"/>
        </w:rPr>
      </w:pPr>
      <w:r>
        <w:rPr>
          <w:noProof/>
        </w:rPr>
        <w:drawing>
          <wp:inline distT="0" distB="0" distL="0" distR="0" wp14:anchorId="3687E64A" wp14:editId="5DE2DE4F">
            <wp:extent cx="5400000" cy="2700000"/>
            <wp:effectExtent l="0" t="0" r="10795" b="5715"/>
            <wp:docPr id="831261705"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F21316D" w14:textId="32A7E7F8" w:rsidR="0007670F" w:rsidRPr="00B61114" w:rsidRDefault="0007670F" w:rsidP="00ED0C2F">
      <w:pPr>
        <w:widowControl w:val="0"/>
        <w:ind w:left="851"/>
        <w:rPr>
          <w:sz w:val="16"/>
          <w:szCs w:val="16"/>
        </w:rPr>
      </w:pPr>
      <w:r w:rsidRPr="00B61114">
        <w:rPr>
          <w:sz w:val="18"/>
          <w:szCs w:val="18"/>
          <w:vertAlign w:val="superscript"/>
        </w:rPr>
        <w:t>p/</w:t>
      </w:r>
      <w:r w:rsidRPr="00B61114">
        <w:rPr>
          <w:sz w:val="16"/>
          <w:szCs w:val="16"/>
        </w:rPr>
        <w:tab/>
        <w:t>Dato preliminar</w:t>
      </w:r>
      <w:r w:rsidR="004B76C2" w:rsidRPr="00B61114">
        <w:rPr>
          <w:sz w:val="16"/>
          <w:szCs w:val="16"/>
        </w:rPr>
        <w:t>.</w:t>
      </w:r>
    </w:p>
    <w:p w14:paraId="3772213A" w14:textId="19FA05F7" w:rsidR="00AB6F59" w:rsidRPr="00B61114" w:rsidRDefault="002C553E" w:rsidP="00ED0C2F">
      <w:pPr>
        <w:widowControl w:val="0"/>
        <w:ind w:left="851"/>
        <w:jc w:val="left"/>
        <w:rPr>
          <w:b/>
          <w:bCs/>
          <w:smallCaps/>
          <w:kern w:val="32"/>
          <w:sz w:val="16"/>
          <w:szCs w:val="16"/>
        </w:rPr>
      </w:pPr>
      <w:r w:rsidRPr="00B61114">
        <w:rPr>
          <w:sz w:val="16"/>
          <w:szCs w:val="16"/>
        </w:rPr>
        <w:t>Fuente:</w:t>
      </w:r>
      <w:r w:rsidR="004B76C2" w:rsidRPr="00B61114">
        <w:rPr>
          <w:smallCaps/>
          <w:sz w:val="16"/>
          <w:szCs w:val="16"/>
        </w:rPr>
        <w:tab/>
        <w:t>inegi</w:t>
      </w:r>
      <w:r w:rsidR="00AB6F59" w:rsidRPr="00B61114">
        <w:rPr>
          <w:sz w:val="16"/>
          <w:szCs w:val="16"/>
        </w:rPr>
        <w:t xml:space="preserve"> y Banco de México</w:t>
      </w:r>
      <w:r w:rsidR="00ED4D2F" w:rsidRPr="00B61114">
        <w:rPr>
          <w:sz w:val="16"/>
          <w:szCs w:val="16"/>
        </w:rPr>
        <w:t>.</w:t>
      </w:r>
      <w:r w:rsidR="0042219B">
        <w:rPr>
          <w:sz w:val="16"/>
          <w:szCs w:val="16"/>
        </w:rPr>
        <w:t xml:space="preserve"> </w:t>
      </w:r>
      <w:proofErr w:type="spellStart"/>
      <w:r w:rsidR="004B76C2" w:rsidRPr="00B61114">
        <w:rPr>
          <w:smallCaps/>
          <w:sz w:val="16"/>
          <w:szCs w:val="16"/>
        </w:rPr>
        <w:t>emoe</w:t>
      </w:r>
      <w:proofErr w:type="spellEnd"/>
      <w:r w:rsidR="00ED4D2F" w:rsidRPr="00B61114">
        <w:rPr>
          <w:sz w:val="16"/>
          <w:szCs w:val="16"/>
        </w:rPr>
        <w:t>, 202</w:t>
      </w:r>
      <w:r w:rsidR="0030429B">
        <w:rPr>
          <w:sz w:val="16"/>
          <w:szCs w:val="16"/>
        </w:rPr>
        <w:t>4</w:t>
      </w:r>
      <w:r w:rsidR="00ED4D2F" w:rsidRPr="00B61114">
        <w:rPr>
          <w:sz w:val="16"/>
          <w:szCs w:val="16"/>
        </w:rPr>
        <w:t>.</w:t>
      </w:r>
    </w:p>
    <w:p w14:paraId="6A8A45CF" w14:textId="43C3DDDF" w:rsidR="00DC158A" w:rsidRPr="00B61114" w:rsidRDefault="001A50CE" w:rsidP="00AF3DBB">
      <w:pPr>
        <w:widowControl w:val="0"/>
        <w:spacing w:before="360"/>
        <w:outlineLvl w:val="0"/>
        <w:rPr>
          <w:lang w:val="es-ES"/>
        </w:rPr>
      </w:pPr>
      <w:r w:rsidRPr="00B61114">
        <w:rPr>
          <w:lang w:val="es-ES"/>
        </w:rPr>
        <w:t xml:space="preserve">Con </w:t>
      </w:r>
      <w:r w:rsidR="002B64AA">
        <w:rPr>
          <w:lang w:val="es-ES"/>
        </w:rPr>
        <w:t xml:space="preserve">datos </w:t>
      </w:r>
      <w:r w:rsidR="00A11A16">
        <w:rPr>
          <w:lang w:val="es-ES"/>
        </w:rPr>
        <w:t>originales</w:t>
      </w:r>
      <w:r w:rsidRPr="00B61114">
        <w:rPr>
          <w:lang w:val="es-ES"/>
        </w:rPr>
        <w:t xml:space="preserve">, en </w:t>
      </w:r>
      <w:r w:rsidR="00A11A16">
        <w:rPr>
          <w:lang w:val="es-ES"/>
        </w:rPr>
        <w:t xml:space="preserve">el </w:t>
      </w:r>
      <w:r w:rsidR="004854AD">
        <w:rPr>
          <w:lang w:val="es-ES"/>
        </w:rPr>
        <w:t>segundo</w:t>
      </w:r>
      <w:r w:rsidR="00A11A16">
        <w:rPr>
          <w:lang w:val="es-ES"/>
        </w:rPr>
        <w:t xml:space="preserve"> mes </w:t>
      </w:r>
      <w:r w:rsidR="003F3ABA">
        <w:rPr>
          <w:lang w:val="es-ES"/>
        </w:rPr>
        <w:t>de 202</w:t>
      </w:r>
      <w:r w:rsidR="00A11A16">
        <w:rPr>
          <w:lang w:val="es-ES"/>
        </w:rPr>
        <w:t>4</w:t>
      </w:r>
      <w:r w:rsidR="00DB3D6D" w:rsidRPr="00B61114">
        <w:rPr>
          <w:lang w:val="es-ES"/>
        </w:rPr>
        <w:t>,</w:t>
      </w:r>
      <w:r w:rsidRPr="00B61114">
        <w:rPr>
          <w:lang w:val="es-ES"/>
        </w:rPr>
        <w:t xml:space="preserve"> </w:t>
      </w:r>
      <w:r w:rsidR="00A11A16">
        <w:rPr>
          <w:lang w:val="es-ES"/>
        </w:rPr>
        <w:t>tres</w:t>
      </w:r>
      <w:r w:rsidR="000427CA">
        <w:rPr>
          <w:lang w:val="es-ES"/>
        </w:rPr>
        <w:t xml:space="preserve"> de </w:t>
      </w:r>
      <w:r w:rsidRPr="00B61114">
        <w:rPr>
          <w:lang w:val="es-ES"/>
        </w:rPr>
        <w:t xml:space="preserve">los cinco </w:t>
      </w:r>
      <w:r w:rsidR="00511AEF" w:rsidRPr="00B61114">
        <w:rPr>
          <w:lang w:val="es-ES"/>
        </w:rPr>
        <w:t>rubro</w:t>
      </w:r>
      <w:r w:rsidRPr="00B61114">
        <w:rPr>
          <w:lang w:val="es-ES"/>
        </w:rPr>
        <w:t xml:space="preserve">s que integran el </w:t>
      </w:r>
      <w:proofErr w:type="spellStart"/>
      <w:r w:rsidR="00D90A8C" w:rsidRPr="00B23E51">
        <w:rPr>
          <w:smallCaps/>
          <w:lang w:val="es-ES"/>
        </w:rPr>
        <w:t>ipm</w:t>
      </w:r>
      <w:proofErr w:type="spellEnd"/>
      <w:r w:rsidRPr="00B61114">
        <w:rPr>
          <w:lang w:val="es-ES"/>
        </w:rPr>
        <w:t xml:space="preserve"> </w:t>
      </w:r>
      <w:r w:rsidR="004854AD">
        <w:rPr>
          <w:lang w:val="es-ES"/>
        </w:rPr>
        <w:t>registraron aumentos</w:t>
      </w:r>
      <w:r w:rsidR="00CF0F39">
        <w:rPr>
          <w:lang w:val="es-ES"/>
        </w:rPr>
        <w:t xml:space="preserve"> anuales</w:t>
      </w:r>
      <w:r w:rsidR="00A11A16">
        <w:rPr>
          <w:lang w:val="es-ES"/>
        </w:rPr>
        <w:t>. Los dos</w:t>
      </w:r>
      <w:r w:rsidR="000427CA">
        <w:rPr>
          <w:lang w:val="es-ES"/>
        </w:rPr>
        <w:t xml:space="preserve"> restante</w:t>
      </w:r>
      <w:r w:rsidR="00A11A16">
        <w:rPr>
          <w:lang w:val="es-ES"/>
        </w:rPr>
        <w:t>s</w:t>
      </w:r>
      <w:r w:rsidR="002B64AA">
        <w:rPr>
          <w:lang w:val="es-ES"/>
        </w:rPr>
        <w:t xml:space="preserve"> </w:t>
      </w:r>
      <w:r w:rsidR="00627CBB">
        <w:rPr>
          <w:lang w:val="es-ES"/>
        </w:rPr>
        <w:t>disminuyeron</w:t>
      </w:r>
      <w:r w:rsidR="000427CA">
        <w:rPr>
          <w:lang w:val="es-ES"/>
        </w:rPr>
        <w:t>.</w:t>
      </w:r>
    </w:p>
    <w:p w14:paraId="1D39ABB3" w14:textId="7281250A" w:rsidR="007F632F" w:rsidRPr="00B61114" w:rsidRDefault="007F632F" w:rsidP="00AF3DBB">
      <w:pPr>
        <w:spacing w:before="360"/>
        <w:jc w:val="center"/>
        <w:outlineLvl w:val="0"/>
        <w:rPr>
          <w:sz w:val="20"/>
        </w:rPr>
      </w:pPr>
      <w:r w:rsidRPr="00B61114">
        <w:rPr>
          <w:sz w:val="20"/>
        </w:rPr>
        <w:t>Cuadro 2</w:t>
      </w:r>
    </w:p>
    <w:p w14:paraId="0E5548DF" w14:textId="0E432F80" w:rsidR="0007670F" w:rsidRPr="00B61114" w:rsidRDefault="00EA663E" w:rsidP="00AF3DBB">
      <w:pPr>
        <w:widowControl w:val="0"/>
        <w:jc w:val="center"/>
        <w:outlineLvl w:val="0"/>
        <w:rPr>
          <w:b/>
          <w:smallCaps/>
          <w:sz w:val="22"/>
        </w:rPr>
      </w:pPr>
      <w:r w:rsidRPr="00B61114">
        <w:rPr>
          <w:b/>
          <w:smallCaps/>
          <w:sz w:val="22"/>
        </w:rPr>
        <w:t>indicador de pedidos manufactureros</w:t>
      </w:r>
      <w:r>
        <w:rPr>
          <w:b/>
          <w:smallCaps/>
          <w:sz w:val="22"/>
        </w:rPr>
        <w:t xml:space="preserve"> y sus componentes</w:t>
      </w:r>
    </w:p>
    <w:p w14:paraId="1842138C" w14:textId="435654DF" w:rsidR="0085046E" w:rsidRPr="00B61114" w:rsidRDefault="00EA663E" w:rsidP="0085046E">
      <w:pPr>
        <w:keepNext/>
        <w:keepLines/>
        <w:widowControl w:val="0"/>
        <w:jc w:val="center"/>
        <w:outlineLvl w:val="0"/>
        <w:rPr>
          <w:bCs/>
          <w:sz w:val="20"/>
          <w:szCs w:val="20"/>
        </w:rPr>
      </w:pPr>
      <w:r>
        <w:rPr>
          <w:bCs/>
          <w:sz w:val="20"/>
          <w:szCs w:val="20"/>
        </w:rPr>
        <w:t>febrero</w:t>
      </w:r>
      <w:r w:rsidR="0085046E" w:rsidRPr="00B61114">
        <w:rPr>
          <w:bCs/>
          <w:sz w:val="20"/>
          <w:szCs w:val="20"/>
        </w:rPr>
        <w:t xml:space="preserve"> de 202</w:t>
      </w:r>
      <w:r w:rsidR="0030429B">
        <w:rPr>
          <w:bCs/>
          <w:sz w:val="20"/>
          <w:szCs w:val="20"/>
        </w:rPr>
        <w:t>3</w:t>
      </w:r>
      <w:r w:rsidR="0085046E" w:rsidRPr="00B61114">
        <w:rPr>
          <w:bCs/>
          <w:sz w:val="20"/>
          <w:szCs w:val="20"/>
        </w:rPr>
        <w:t xml:space="preserve"> y 202</w:t>
      </w:r>
      <w:r w:rsidR="0030429B">
        <w:rPr>
          <w:bCs/>
          <w:sz w:val="20"/>
          <w:szCs w:val="20"/>
        </w:rPr>
        <w:t>4</w:t>
      </w:r>
    </w:p>
    <w:p w14:paraId="54A88C2A" w14:textId="7FDEE579" w:rsidR="00ED4D2F" w:rsidRPr="00B61114" w:rsidRDefault="00ED4D2F" w:rsidP="00ED4D2F">
      <w:pPr>
        <w:jc w:val="center"/>
        <w:rPr>
          <w:bCs/>
          <w:sz w:val="18"/>
          <w:szCs w:val="18"/>
        </w:rPr>
      </w:pPr>
      <w:r w:rsidRPr="00B61114">
        <w:rPr>
          <w:bCs/>
          <w:sz w:val="18"/>
          <w:szCs w:val="18"/>
        </w:rPr>
        <w:t>(</w:t>
      </w:r>
      <w:r w:rsidR="0085046E" w:rsidRPr="00B61114">
        <w:rPr>
          <w:bCs/>
          <w:sz w:val="18"/>
          <w:szCs w:val="18"/>
        </w:rPr>
        <w:t>p</w:t>
      </w:r>
      <w:r w:rsidRPr="00B61114">
        <w:rPr>
          <w:bCs/>
          <w:sz w:val="18"/>
          <w:szCs w:val="18"/>
        </w:rPr>
        <w:t>untos)</w:t>
      </w:r>
    </w:p>
    <w:tbl>
      <w:tblPr>
        <w:tblW w:w="8766"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B61114" w14:paraId="286A9C26" w14:textId="77777777" w:rsidTr="002B1119">
        <w:trPr>
          <w:cantSplit/>
          <w:trHeight w:val="300"/>
          <w:jc w:val="center"/>
        </w:trPr>
        <w:tc>
          <w:tcPr>
            <w:tcW w:w="5092" w:type="dxa"/>
            <w:vMerge w:val="restart"/>
            <w:shd w:val="clear" w:color="auto" w:fill="CCCCFF"/>
            <w:vAlign w:val="center"/>
          </w:tcPr>
          <w:p w14:paraId="440A28B8" w14:textId="72BFE57A" w:rsidR="0007670F" w:rsidRPr="00B61114" w:rsidRDefault="0007670F" w:rsidP="00501DDC">
            <w:pPr>
              <w:widowControl w:val="0"/>
              <w:spacing w:before="60" w:after="60" w:line="240" w:lineRule="atLeast"/>
              <w:ind w:firstLine="60"/>
              <w:jc w:val="left"/>
              <w:rPr>
                <w:sz w:val="18"/>
                <w:szCs w:val="18"/>
              </w:rPr>
            </w:pPr>
            <w:r w:rsidRPr="00B61114">
              <w:rPr>
                <w:sz w:val="18"/>
                <w:szCs w:val="18"/>
              </w:rPr>
              <w:t>Indicador</w:t>
            </w:r>
            <w:r w:rsidR="00C56112">
              <w:rPr>
                <w:sz w:val="18"/>
                <w:szCs w:val="18"/>
              </w:rPr>
              <w:t xml:space="preserve"> y componentes</w:t>
            </w:r>
          </w:p>
        </w:tc>
        <w:tc>
          <w:tcPr>
            <w:tcW w:w="2449" w:type="dxa"/>
            <w:gridSpan w:val="2"/>
            <w:shd w:val="clear" w:color="auto" w:fill="CCCCFF"/>
            <w:vAlign w:val="center"/>
          </w:tcPr>
          <w:p w14:paraId="54C8EA7E" w14:textId="5116B978" w:rsidR="0007670F" w:rsidRPr="00B61114" w:rsidRDefault="00EA663E" w:rsidP="00AF3DBB">
            <w:pPr>
              <w:widowControl w:val="0"/>
              <w:spacing w:before="40" w:after="40" w:line="240" w:lineRule="atLeast"/>
              <w:jc w:val="center"/>
              <w:rPr>
                <w:sz w:val="18"/>
                <w:szCs w:val="18"/>
              </w:rPr>
            </w:pPr>
            <w:r>
              <w:rPr>
                <w:sz w:val="18"/>
                <w:szCs w:val="18"/>
              </w:rPr>
              <w:t>Febrero</w:t>
            </w:r>
          </w:p>
        </w:tc>
        <w:tc>
          <w:tcPr>
            <w:tcW w:w="1225" w:type="dxa"/>
            <w:vMerge w:val="restart"/>
            <w:shd w:val="clear" w:color="auto" w:fill="CCCCFF"/>
            <w:vAlign w:val="center"/>
          </w:tcPr>
          <w:p w14:paraId="3AD8C0D6" w14:textId="41F773E5" w:rsidR="0007670F" w:rsidRPr="00B61114" w:rsidRDefault="0007670F" w:rsidP="00AF3DBB">
            <w:pPr>
              <w:widowControl w:val="0"/>
              <w:spacing w:before="60" w:after="60" w:line="240" w:lineRule="atLeast"/>
              <w:jc w:val="center"/>
              <w:rPr>
                <w:sz w:val="18"/>
                <w:szCs w:val="18"/>
              </w:rPr>
            </w:pPr>
            <w:r w:rsidRPr="00B61114">
              <w:rPr>
                <w:sz w:val="18"/>
                <w:szCs w:val="18"/>
              </w:rPr>
              <w:t xml:space="preserve">Diferencia </w:t>
            </w:r>
            <w:r w:rsidR="007F3B4A" w:rsidRPr="00B61114">
              <w:rPr>
                <w:sz w:val="18"/>
                <w:szCs w:val="18"/>
              </w:rPr>
              <w:t>anual</w:t>
            </w:r>
            <w:r w:rsidRPr="00B61114">
              <w:rPr>
                <w:sz w:val="18"/>
                <w:szCs w:val="18"/>
                <w:vertAlign w:val="superscript"/>
              </w:rPr>
              <w:t>1/</w:t>
            </w:r>
          </w:p>
        </w:tc>
      </w:tr>
      <w:tr w:rsidR="005B0949" w:rsidRPr="00B61114" w14:paraId="501A7A39" w14:textId="77777777" w:rsidTr="002B1119">
        <w:trPr>
          <w:cantSplit/>
          <w:trHeight w:val="300"/>
          <w:jc w:val="center"/>
        </w:trPr>
        <w:tc>
          <w:tcPr>
            <w:tcW w:w="5092" w:type="dxa"/>
            <w:vMerge/>
            <w:tcBorders>
              <w:bottom w:val="single" w:sz="4" w:space="0" w:color="404040"/>
            </w:tcBorders>
            <w:shd w:val="pct10" w:color="auto" w:fill="auto"/>
            <w:vAlign w:val="center"/>
          </w:tcPr>
          <w:p w14:paraId="1CF51F72" w14:textId="77777777" w:rsidR="0007670F" w:rsidRPr="00B61114" w:rsidRDefault="0007670F" w:rsidP="00AF3DBB">
            <w:pPr>
              <w:widowControl w:val="0"/>
              <w:spacing w:before="60" w:after="60" w:line="240" w:lineRule="atLeast"/>
              <w:jc w:val="center"/>
              <w:rPr>
                <w:sz w:val="18"/>
                <w:szCs w:val="18"/>
              </w:rPr>
            </w:pPr>
          </w:p>
        </w:tc>
        <w:tc>
          <w:tcPr>
            <w:tcW w:w="1224" w:type="dxa"/>
            <w:tcBorders>
              <w:bottom w:val="single" w:sz="4" w:space="0" w:color="404040"/>
            </w:tcBorders>
            <w:shd w:val="clear" w:color="auto" w:fill="CCCCFF"/>
            <w:vAlign w:val="center"/>
          </w:tcPr>
          <w:p w14:paraId="02C41064" w14:textId="47F54028" w:rsidR="0007670F" w:rsidRPr="00B61114" w:rsidRDefault="007F632F" w:rsidP="009B4145">
            <w:pPr>
              <w:widowControl w:val="0"/>
              <w:tabs>
                <w:tab w:val="decimal" w:pos="727"/>
              </w:tabs>
              <w:spacing w:line="240" w:lineRule="atLeast"/>
              <w:ind w:right="-54"/>
              <w:jc w:val="left"/>
              <w:rPr>
                <w:sz w:val="18"/>
                <w:szCs w:val="18"/>
              </w:rPr>
            </w:pPr>
            <w:r w:rsidRPr="00B61114">
              <w:rPr>
                <w:sz w:val="18"/>
                <w:szCs w:val="18"/>
              </w:rPr>
              <w:t>202</w:t>
            </w:r>
            <w:r w:rsidR="0030429B">
              <w:rPr>
                <w:sz w:val="18"/>
                <w:szCs w:val="18"/>
              </w:rPr>
              <w:t>3</w:t>
            </w:r>
          </w:p>
        </w:tc>
        <w:tc>
          <w:tcPr>
            <w:tcW w:w="1225" w:type="dxa"/>
            <w:tcBorders>
              <w:bottom w:val="single" w:sz="4" w:space="0" w:color="404040"/>
            </w:tcBorders>
            <w:shd w:val="clear" w:color="auto" w:fill="CCCCFF"/>
            <w:vAlign w:val="center"/>
          </w:tcPr>
          <w:p w14:paraId="36B573BE" w14:textId="0DCCDAF0" w:rsidR="0007670F" w:rsidRPr="00B61114" w:rsidRDefault="007F632F" w:rsidP="00AF3DBB">
            <w:pPr>
              <w:widowControl w:val="0"/>
              <w:spacing w:line="240" w:lineRule="atLeast"/>
              <w:ind w:left="-70" w:right="-57"/>
              <w:jc w:val="center"/>
              <w:rPr>
                <w:sz w:val="18"/>
                <w:szCs w:val="18"/>
              </w:rPr>
            </w:pPr>
            <w:r w:rsidRPr="00B61114">
              <w:rPr>
                <w:sz w:val="18"/>
                <w:szCs w:val="18"/>
              </w:rPr>
              <w:t>202</w:t>
            </w:r>
            <w:r w:rsidR="0030429B">
              <w:rPr>
                <w:sz w:val="18"/>
                <w:szCs w:val="18"/>
              </w:rPr>
              <w:t>4</w:t>
            </w:r>
            <w:r w:rsidR="0007670F" w:rsidRPr="00B61114">
              <w:rPr>
                <w:sz w:val="18"/>
                <w:szCs w:val="18"/>
                <w:vertAlign w:val="superscript"/>
              </w:rPr>
              <w:t>p/</w:t>
            </w:r>
          </w:p>
        </w:tc>
        <w:tc>
          <w:tcPr>
            <w:tcW w:w="1225" w:type="dxa"/>
            <w:vMerge/>
            <w:tcBorders>
              <w:bottom w:val="single" w:sz="4" w:space="0" w:color="404040"/>
            </w:tcBorders>
            <w:shd w:val="pct10" w:color="auto" w:fill="auto"/>
            <w:vAlign w:val="center"/>
          </w:tcPr>
          <w:p w14:paraId="6A260854" w14:textId="77777777" w:rsidR="0007670F" w:rsidRPr="00B61114" w:rsidRDefault="0007670F" w:rsidP="00AF3DBB">
            <w:pPr>
              <w:widowControl w:val="0"/>
              <w:spacing w:line="240" w:lineRule="atLeast"/>
              <w:ind w:left="-64" w:right="-45"/>
              <w:jc w:val="center"/>
              <w:rPr>
                <w:sz w:val="18"/>
                <w:szCs w:val="18"/>
              </w:rPr>
            </w:pPr>
          </w:p>
        </w:tc>
      </w:tr>
      <w:tr w:rsidR="000324BB" w:rsidRPr="00B61114" w14:paraId="5C0AB6F6" w14:textId="77777777" w:rsidTr="002B1119">
        <w:trPr>
          <w:cantSplit/>
          <w:trHeight w:val="20"/>
          <w:jc w:val="center"/>
        </w:trPr>
        <w:tc>
          <w:tcPr>
            <w:tcW w:w="5092" w:type="dxa"/>
            <w:tcBorders>
              <w:bottom w:val="nil"/>
            </w:tcBorders>
            <w:vAlign w:val="center"/>
          </w:tcPr>
          <w:p w14:paraId="22CFB247" w14:textId="77777777" w:rsidR="000324BB" w:rsidRPr="00B61114" w:rsidRDefault="000324BB" w:rsidP="000324BB">
            <w:pPr>
              <w:widowControl w:val="0"/>
              <w:tabs>
                <w:tab w:val="left" w:pos="339"/>
              </w:tabs>
              <w:spacing w:before="20" w:after="20" w:line="240" w:lineRule="exact"/>
              <w:ind w:left="323" w:hanging="306"/>
              <w:jc w:val="left"/>
              <w:rPr>
                <w:b/>
                <w:sz w:val="18"/>
                <w:szCs w:val="18"/>
              </w:rPr>
            </w:pPr>
            <w:r w:rsidRPr="00B61114">
              <w:rPr>
                <w:b/>
                <w:sz w:val="18"/>
                <w:szCs w:val="18"/>
              </w:rPr>
              <w:t>Indicador de Pedidos Manufactureros</w:t>
            </w:r>
          </w:p>
        </w:tc>
        <w:tc>
          <w:tcPr>
            <w:tcW w:w="1224" w:type="dxa"/>
            <w:tcBorders>
              <w:bottom w:val="nil"/>
              <w:right w:val="nil"/>
            </w:tcBorders>
            <w:vAlign w:val="center"/>
          </w:tcPr>
          <w:p w14:paraId="14F711E8" w14:textId="37A60239" w:rsidR="000324BB" w:rsidRPr="000324BB" w:rsidRDefault="000324BB" w:rsidP="000324BB">
            <w:pPr>
              <w:tabs>
                <w:tab w:val="decimal" w:pos="556"/>
              </w:tabs>
              <w:jc w:val="left"/>
              <w:rPr>
                <w:b/>
                <w:bCs/>
                <w:sz w:val="18"/>
                <w:szCs w:val="18"/>
              </w:rPr>
            </w:pPr>
            <w:r w:rsidRPr="000324BB">
              <w:rPr>
                <w:b/>
                <w:bCs/>
                <w:color w:val="000000"/>
                <w:sz w:val="18"/>
                <w:szCs w:val="18"/>
              </w:rPr>
              <w:t xml:space="preserve">51.7 </w:t>
            </w:r>
          </w:p>
        </w:tc>
        <w:tc>
          <w:tcPr>
            <w:tcW w:w="1225" w:type="dxa"/>
            <w:tcBorders>
              <w:left w:val="nil"/>
              <w:bottom w:val="nil"/>
            </w:tcBorders>
            <w:vAlign w:val="center"/>
          </w:tcPr>
          <w:p w14:paraId="6576A907" w14:textId="5B128F3D" w:rsidR="000324BB" w:rsidRPr="000324BB" w:rsidRDefault="000324BB" w:rsidP="000324BB">
            <w:pPr>
              <w:tabs>
                <w:tab w:val="decimal" w:pos="584"/>
              </w:tabs>
              <w:jc w:val="left"/>
              <w:rPr>
                <w:b/>
                <w:bCs/>
                <w:sz w:val="18"/>
                <w:szCs w:val="18"/>
              </w:rPr>
            </w:pPr>
            <w:r w:rsidRPr="000324BB">
              <w:rPr>
                <w:b/>
                <w:bCs/>
                <w:color w:val="000000"/>
                <w:sz w:val="18"/>
                <w:szCs w:val="18"/>
              </w:rPr>
              <w:t xml:space="preserve">53.5 </w:t>
            </w:r>
          </w:p>
        </w:tc>
        <w:tc>
          <w:tcPr>
            <w:tcW w:w="1225" w:type="dxa"/>
            <w:tcBorders>
              <w:bottom w:val="nil"/>
            </w:tcBorders>
            <w:vAlign w:val="center"/>
          </w:tcPr>
          <w:p w14:paraId="143F50C8" w14:textId="20B1A753" w:rsidR="000324BB" w:rsidRPr="000324BB" w:rsidRDefault="000324BB" w:rsidP="000324BB">
            <w:pPr>
              <w:tabs>
                <w:tab w:val="decimal" w:pos="528"/>
              </w:tabs>
              <w:jc w:val="left"/>
              <w:rPr>
                <w:b/>
                <w:bCs/>
                <w:sz w:val="18"/>
                <w:szCs w:val="18"/>
              </w:rPr>
            </w:pPr>
            <w:r w:rsidRPr="000324BB">
              <w:rPr>
                <w:b/>
                <w:bCs/>
                <w:sz w:val="18"/>
                <w:szCs w:val="18"/>
              </w:rPr>
              <w:t>1.8</w:t>
            </w:r>
          </w:p>
        </w:tc>
      </w:tr>
      <w:tr w:rsidR="000324BB" w:rsidRPr="00B61114" w14:paraId="73010FEF" w14:textId="77777777" w:rsidTr="002B1119">
        <w:trPr>
          <w:cantSplit/>
          <w:trHeight w:val="20"/>
          <w:jc w:val="center"/>
        </w:trPr>
        <w:tc>
          <w:tcPr>
            <w:tcW w:w="5092" w:type="dxa"/>
            <w:tcBorders>
              <w:top w:val="nil"/>
              <w:bottom w:val="nil"/>
            </w:tcBorders>
            <w:vAlign w:val="center"/>
          </w:tcPr>
          <w:p w14:paraId="2219DEF3" w14:textId="77777777" w:rsidR="000324BB" w:rsidRPr="00B61114" w:rsidRDefault="000324BB" w:rsidP="000324BB">
            <w:pPr>
              <w:widowControl w:val="0"/>
              <w:numPr>
                <w:ilvl w:val="0"/>
                <w:numId w:val="30"/>
              </w:numPr>
              <w:spacing w:before="20" w:after="20"/>
              <w:ind w:left="325" w:hanging="309"/>
              <w:jc w:val="left"/>
              <w:rPr>
                <w:sz w:val="18"/>
                <w:szCs w:val="18"/>
              </w:rPr>
            </w:pPr>
            <w:r w:rsidRPr="00B61114">
              <w:rPr>
                <w:sz w:val="18"/>
                <w:szCs w:val="18"/>
              </w:rPr>
              <w:t>Pedidos</w:t>
            </w:r>
          </w:p>
        </w:tc>
        <w:tc>
          <w:tcPr>
            <w:tcW w:w="1224" w:type="dxa"/>
            <w:tcBorders>
              <w:top w:val="nil"/>
              <w:bottom w:val="nil"/>
              <w:right w:val="nil"/>
            </w:tcBorders>
            <w:vAlign w:val="center"/>
          </w:tcPr>
          <w:p w14:paraId="558AD31D" w14:textId="1B56C721" w:rsidR="000324BB" w:rsidRPr="000324BB" w:rsidRDefault="000324BB" w:rsidP="000324BB">
            <w:pPr>
              <w:tabs>
                <w:tab w:val="decimal" w:pos="556"/>
              </w:tabs>
              <w:jc w:val="left"/>
              <w:rPr>
                <w:sz w:val="18"/>
                <w:szCs w:val="18"/>
              </w:rPr>
            </w:pPr>
            <w:r w:rsidRPr="000324BB">
              <w:rPr>
                <w:color w:val="000000"/>
                <w:sz w:val="18"/>
                <w:szCs w:val="18"/>
              </w:rPr>
              <w:t xml:space="preserve">53.8 </w:t>
            </w:r>
          </w:p>
        </w:tc>
        <w:tc>
          <w:tcPr>
            <w:tcW w:w="1225" w:type="dxa"/>
            <w:tcBorders>
              <w:top w:val="nil"/>
              <w:left w:val="nil"/>
              <w:bottom w:val="nil"/>
            </w:tcBorders>
            <w:vAlign w:val="center"/>
          </w:tcPr>
          <w:p w14:paraId="49D1DA46" w14:textId="10D08E5F" w:rsidR="000324BB" w:rsidRPr="000324BB" w:rsidRDefault="000324BB" w:rsidP="000324BB">
            <w:pPr>
              <w:tabs>
                <w:tab w:val="decimal" w:pos="584"/>
              </w:tabs>
              <w:jc w:val="left"/>
              <w:rPr>
                <w:sz w:val="18"/>
                <w:szCs w:val="18"/>
              </w:rPr>
            </w:pPr>
            <w:r w:rsidRPr="000324BB">
              <w:rPr>
                <w:color w:val="000000"/>
                <w:sz w:val="18"/>
                <w:szCs w:val="18"/>
              </w:rPr>
              <w:t xml:space="preserve">56.1 </w:t>
            </w:r>
          </w:p>
        </w:tc>
        <w:tc>
          <w:tcPr>
            <w:tcW w:w="1225" w:type="dxa"/>
            <w:tcBorders>
              <w:top w:val="nil"/>
              <w:bottom w:val="nil"/>
            </w:tcBorders>
            <w:vAlign w:val="center"/>
          </w:tcPr>
          <w:p w14:paraId="12AF87FF" w14:textId="1175934F" w:rsidR="000324BB" w:rsidRPr="000324BB" w:rsidRDefault="000324BB" w:rsidP="000324BB">
            <w:pPr>
              <w:tabs>
                <w:tab w:val="decimal" w:pos="528"/>
              </w:tabs>
              <w:jc w:val="left"/>
              <w:rPr>
                <w:sz w:val="18"/>
                <w:szCs w:val="18"/>
              </w:rPr>
            </w:pPr>
            <w:r w:rsidRPr="000324BB">
              <w:rPr>
                <w:sz w:val="18"/>
                <w:szCs w:val="18"/>
              </w:rPr>
              <w:t>2.3</w:t>
            </w:r>
          </w:p>
        </w:tc>
      </w:tr>
      <w:tr w:rsidR="000324BB" w:rsidRPr="00B61114" w14:paraId="3EFD7D1A" w14:textId="77777777" w:rsidTr="002B1119">
        <w:trPr>
          <w:cantSplit/>
          <w:trHeight w:val="20"/>
          <w:jc w:val="center"/>
        </w:trPr>
        <w:tc>
          <w:tcPr>
            <w:tcW w:w="5092" w:type="dxa"/>
            <w:tcBorders>
              <w:top w:val="nil"/>
              <w:bottom w:val="nil"/>
            </w:tcBorders>
            <w:vAlign w:val="center"/>
          </w:tcPr>
          <w:p w14:paraId="0ACD3CE9" w14:textId="77777777" w:rsidR="000324BB" w:rsidRPr="00B61114" w:rsidRDefault="000324BB" w:rsidP="000324BB">
            <w:pPr>
              <w:widowControl w:val="0"/>
              <w:numPr>
                <w:ilvl w:val="0"/>
                <w:numId w:val="30"/>
              </w:numPr>
              <w:spacing w:before="20" w:after="20"/>
              <w:ind w:left="325" w:hanging="309"/>
              <w:jc w:val="left"/>
              <w:rPr>
                <w:sz w:val="18"/>
                <w:szCs w:val="18"/>
              </w:rPr>
            </w:pPr>
            <w:r w:rsidRPr="00B61114">
              <w:rPr>
                <w:sz w:val="18"/>
                <w:szCs w:val="18"/>
              </w:rPr>
              <w:t>Producción</w:t>
            </w:r>
          </w:p>
        </w:tc>
        <w:tc>
          <w:tcPr>
            <w:tcW w:w="1224" w:type="dxa"/>
            <w:tcBorders>
              <w:top w:val="nil"/>
              <w:bottom w:val="nil"/>
              <w:right w:val="nil"/>
            </w:tcBorders>
            <w:vAlign w:val="center"/>
          </w:tcPr>
          <w:p w14:paraId="7EA67E7F" w14:textId="4A9E36FF" w:rsidR="000324BB" w:rsidRPr="000324BB" w:rsidRDefault="000324BB" w:rsidP="000324BB">
            <w:pPr>
              <w:tabs>
                <w:tab w:val="decimal" w:pos="556"/>
              </w:tabs>
              <w:jc w:val="left"/>
              <w:rPr>
                <w:sz w:val="18"/>
                <w:szCs w:val="18"/>
              </w:rPr>
            </w:pPr>
            <w:r w:rsidRPr="000324BB">
              <w:rPr>
                <w:color w:val="000000"/>
                <w:sz w:val="18"/>
                <w:szCs w:val="18"/>
              </w:rPr>
              <w:t xml:space="preserve">52.2 </w:t>
            </w:r>
          </w:p>
        </w:tc>
        <w:tc>
          <w:tcPr>
            <w:tcW w:w="1225" w:type="dxa"/>
            <w:tcBorders>
              <w:top w:val="nil"/>
              <w:left w:val="nil"/>
              <w:bottom w:val="nil"/>
            </w:tcBorders>
            <w:vAlign w:val="center"/>
          </w:tcPr>
          <w:p w14:paraId="544FD5C2" w14:textId="41783518" w:rsidR="000324BB" w:rsidRPr="000324BB" w:rsidRDefault="000324BB" w:rsidP="000324BB">
            <w:pPr>
              <w:tabs>
                <w:tab w:val="decimal" w:pos="584"/>
              </w:tabs>
              <w:jc w:val="left"/>
              <w:rPr>
                <w:sz w:val="18"/>
                <w:szCs w:val="18"/>
              </w:rPr>
            </w:pPr>
            <w:r w:rsidRPr="000324BB">
              <w:rPr>
                <w:color w:val="000000"/>
                <w:sz w:val="18"/>
                <w:szCs w:val="18"/>
              </w:rPr>
              <w:t xml:space="preserve">57.3 </w:t>
            </w:r>
          </w:p>
        </w:tc>
        <w:tc>
          <w:tcPr>
            <w:tcW w:w="1225" w:type="dxa"/>
            <w:tcBorders>
              <w:top w:val="nil"/>
              <w:bottom w:val="nil"/>
            </w:tcBorders>
            <w:vAlign w:val="center"/>
          </w:tcPr>
          <w:p w14:paraId="15C844A0" w14:textId="107F1E29" w:rsidR="000324BB" w:rsidRPr="000324BB" w:rsidRDefault="000324BB" w:rsidP="000324BB">
            <w:pPr>
              <w:tabs>
                <w:tab w:val="decimal" w:pos="528"/>
              </w:tabs>
              <w:jc w:val="left"/>
              <w:rPr>
                <w:sz w:val="18"/>
                <w:szCs w:val="18"/>
              </w:rPr>
            </w:pPr>
            <w:r w:rsidRPr="000324BB">
              <w:rPr>
                <w:sz w:val="18"/>
                <w:szCs w:val="18"/>
              </w:rPr>
              <w:t>5.2</w:t>
            </w:r>
          </w:p>
        </w:tc>
      </w:tr>
      <w:tr w:rsidR="000324BB" w:rsidRPr="00B61114" w14:paraId="7CE2533C" w14:textId="77777777" w:rsidTr="002B1119">
        <w:trPr>
          <w:cantSplit/>
          <w:trHeight w:val="20"/>
          <w:jc w:val="center"/>
        </w:trPr>
        <w:tc>
          <w:tcPr>
            <w:tcW w:w="5092" w:type="dxa"/>
            <w:tcBorders>
              <w:top w:val="nil"/>
              <w:bottom w:val="nil"/>
            </w:tcBorders>
            <w:vAlign w:val="center"/>
          </w:tcPr>
          <w:p w14:paraId="1DB51328" w14:textId="1831CB97" w:rsidR="000324BB" w:rsidRPr="00B61114" w:rsidRDefault="000324BB" w:rsidP="000324BB">
            <w:pPr>
              <w:widowControl w:val="0"/>
              <w:numPr>
                <w:ilvl w:val="0"/>
                <w:numId w:val="30"/>
              </w:numPr>
              <w:spacing w:before="20" w:after="20"/>
              <w:ind w:left="325" w:hanging="309"/>
              <w:jc w:val="left"/>
              <w:rPr>
                <w:sz w:val="18"/>
                <w:szCs w:val="18"/>
              </w:rPr>
            </w:pPr>
            <w:r w:rsidRPr="00B61114">
              <w:rPr>
                <w:sz w:val="18"/>
                <w:szCs w:val="18"/>
              </w:rPr>
              <w:t>Personal ocupado</w:t>
            </w:r>
          </w:p>
        </w:tc>
        <w:tc>
          <w:tcPr>
            <w:tcW w:w="1224" w:type="dxa"/>
            <w:tcBorders>
              <w:top w:val="nil"/>
              <w:bottom w:val="nil"/>
              <w:right w:val="nil"/>
            </w:tcBorders>
            <w:vAlign w:val="center"/>
          </w:tcPr>
          <w:p w14:paraId="46ACAEA9" w14:textId="6F11707D" w:rsidR="000324BB" w:rsidRPr="000324BB" w:rsidRDefault="000324BB" w:rsidP="000324BB">
            <w:pPr>
              <w:tabs>
                <w:tab w:val="decimal" w:pos="556"/>
              </w:tabs>
              <w:jc w:val="left"/>
              <w:rPr>
                <w:sz w:val="18"/>
                <w:szCs w:val="18"/>
              </w:rPr>
            </w:pPr>
            <w:r w:rsidRPr="000324BB">
              <w:rPr>
                <w:color w:val="000000"/>
                <w:sz w:val="18"/>
                <w:szCs w:val="18"/>
              </w:rPr>
              <w:t xml:space="preserve">50.9 </w:t>
            </w:r>
          </w:p>
        </w:tc>
        <w:tc>
          <w:tcPr>
            <w:tcW w:w="1225" w:type="dxa"/>
            <w:tcBorders>
              <w:top w:val="nil"/>
              <w:left w:val="nil"/>
              <w:bottom w:val="nil"/>
            </w:tcBorders>
            <w:vAlign w:val="center"/>
          </w:tcPr>
          <w:p w14:paraId="69B56E05" w14:textId="4C08633C" w:rsidR="000324BB" w:rsidRPr="000324BB" w:rsidRDefault="000324BB" w:rsidP="000324BB">
            <w:pPr>
              <w:tabs>
                <w:tab w:val="decimal" w:pos="584"/>
              </w:tabs>
              <w:jc w:val="left"/>
              <w:rPr>
                <w:sz w:val="18"/>
                <w:szCs w:val="18"/>
              </w:rPr>
            </w:pPr>
            <w:r w:rsidRPr="000324BB">
              <w:rPr>
                <w:color w:val="000000"/>
                <w:sz w:val="18"/>
                <w:szCs w:val="18"/>
              </w:rPr>
              <w:t xml:space="preserve">50.7 </w:t>
            </w:r>
          </w:p>
        </w:tc>
        <w:tc>
          <w:tcPr>
            <w:tcW w:w="1225" w:type="dxa"/>
            <w:tcBorders>
              <w:top w:val="nil"/>
              <w:bottom w:val="nil"/>
            </w:tcBorders>
            <w:vAlign w:val="center"/>
          </w:tcPr>
          <w:p w14:paraId="704AB3D8" w14:textId="722F236D" w:rsidR="000324BB" w:rsidRPr="000324BB" w:rsidRDefault="000324BB" w:rsidP="000324BB">
            <w:pPr>
              <w:tabs>
                <w:tab w:val="decimal" w:pos="528"/>
              </w:tabs>
              <w:jc w:val="left"/>
              <w:rPr>
                <w:sz w:val="18"/>
                <w:szCs w:val="18"/>
              </w:rPr>
            </w:pPr>
            <w:r w:rsidRPr="000324BB">
              <w:rPr>
                <w:sz w:val="18"/>
                <w:szCs w:val="18"/>
              </w:rPr>
              <w:t>-0.3</w:t>
            </w:r>
          </w:p>
        </w:tc>
      </w:tr>
      <w:tr w:rsidR="000324BB" w:rsidRPr="00B61114" w14:paraId="7C2F41D3" w14:textId="77777777" w:rsidTr="002B1119">
        <w:trPr>
          <w:cantSplit/>
          <w:trHeight w:val="20"/>
          <w:jc w:val="center"/>
        </w:trPr>
        <w:tc>
          <w:tcPr>
            <w:tcW w:w="5092" w:type="dxa"/>
            <w:tcBorders>
              <w:top w:val="nil"/>
              <w:bottom w:val="nil"/>
            </w:tcBorders>
            <w:vAlign w:val="center"/>
          </w:tcPr>
          <w:p w14:paraId="11A0290C" w14:textId="11518BB2" w:rsidR="000324BB" w:rsidRPr="00B61114" w:rsidRDefault="000324BB" w:rsidP="000324BB">
            <w:pPr>
              <w:widowControl w:val="0"/>
              <w:numPr>
                <w:ilvl w:val="0"/>
                <w:numId w:val="30"/>
              </w:numPr>
              <w:spacing w:before="20" w:after="20"/>
              <w:ind w:left="325" w:right="-87" w:hanging="309"/>
              <w:jc w:val="left"/>
              <w:rPr>
                <w:sz w:val="18"/>
                <w:szCs w:val="18"/>
              </w:rPr>
            </w:pPr>
            <w:r w:rsidRPr="00B61114">
              <w:rPr>
                <w:sz w:val="18"/>
                <w:szCs w:val="18"/>
              </w:rPr>
              <w:t xml:space="preserve">Oportunidad en la entrega de insumos de </w:t>
            </w:r>
            <w:r w:rsidR="00BE14C0">
              <w:rPr>
                <w:sz w:val="18"/>
                <w:szCs w:val="18"/>
              </w:rPr>
              <w:t xml:space="preserve">los </w:t>
            </w:r>
            <w:r w:rsidRPr="00B61114">
              <w:rPr>
                <w:sz w:val="18"/>
                <w:szCs w:val="18"/>
              </w:rPr>
              <w:t>proveedores</w:t>
            </w:r>
          </w:p>
        </w:tc>
        <w:tc>
          <w:tcPr>
            <w:tcW w:w="1224" w:type="dxa"/>
            <w:tcBorders>
              <w:top w:val="nil"/>
              <w:bottom w:val="nil"/>
              <w:right w:val="nil"/>
            </w:tcBorders>
            <w:vAlign w:val="center"/>
          </w:tcPr>
          <w:p w14:paraId="48537BC3" w14:textId="5D59C81A" w:rsidR="000324BB" w:rsidRPr="000324BB" w:rsidRDefault="000324BB" w:rsidP="000324BB">
            <w:pPr>
              <w:tabs>
                <w:tab w:val="decimal" w:pos="556"/>
              </w:tabs>
              <w:jc w:val="left"/>
              <w:rPr>
                <w:sz w:val="18"/>
                <w:szCs w:val="18"/>
              </w:rPr>
            </w:pPr>
            <w:r w:rsidRPr="000324BB">
              <w:rPr>
                <w:color w:val="000000"/>
                <w:sz w:val="18"/>
                <w:szCs w:val="18"/>
              </w:rPr>
              <w:t xml:space="preserve">47.9 </w:t>
            </w:r>
          </w:p>
        </w:tc>
        <w:tc>
          <w:tcPr>
            <w:tcW w:w="1225" w:type="dxa"/>
            <w:tcBorders>
              <w:top w:val="nil"/>
              <w:left w:val="nil"/>
              <w:bottom w:val="nil"/>
            </w:tcBorders>
            <w:vAlign w:val="center"/>
          </w:tcPr>
          <w:p w14:paraId="45BFCFD7" w14:textId="3A7BF85F" w:rsidR="000324BB" w:rsidRPr="000324BB" w:rsidRDefault="000324BB" w:rsidP="000324BB">
            <w:pPr>
              <w:tabs>
                <w:tab w:val="decimal" w:pos="584"/>
              </w:tabs>
              <w:jc w:val="left"/>
              <w:rPr>
                <w:sz w:val="18"/>
                <w:szCs w:val="18"/>
              </w:rPr>
            </w:pPr>
            <w:r w:rsidRPr="000324BB">
              <w:rPr>
                <w:color w:val="000000"/>
                <w:sz w:val="18"/>
                <w:szCs w:val="18"/>
              </w:rPr>
              <w:t xml:space="preserve">48.6 </w:t>
            </w:r>
          </w:p>
        </w:tc>
        <w:tc>
          <w:tcPr>
            <w:tcW w:w="1225" w:type="dxa"/>
            <w:tcBorders>
              <w:top w:val="nil"/>
              <w:bottom w:val="nil"/>
            </w:tcBorders>
            <w:vAlign w:val="center"/>
          </w:tcPr>
          <w:p w14:paraId="6A954970" w14:textId="70DFB8AB" w:rsidR="000324BB" w:rsidRPr="000324BB" w:rsidRDefault="000324BB" w:rsidP="000324BB">
            <w:pPr>
              <w:tabs>
                <w:tab w:val="decimal" w:pos="528"/>
              </w:tabs>
              <w:jc w:val="left"/>
              <w:rPr>
                <w:sz w:val="18"/>
                <w:szCs w:val="18"/>
              </w:rPr>
            </w:pPr>
            <w:r w:rsidRPr="000324BB">
              <w:rPr>
                <w:sz w:val="18"/>
                <w:szCs w:val="18"/>
              </w:rPr>
              <w:t>0.8</w:t>
            </w:r>
          </w:p>
        </w:tc>
      </w:tr>
      <w:tr w:rsidR="000324BB" w:rsidRPr="00B61114" w14:paraId="624EBD59" w14:textId="77777777" w:rsidTr="002B1119">
        <w:trPr>
          <w:cantSplit/>
          <w:trHeight w:val="20"/>
          <w:jc w:val="center"/>
        </w:trPr>
        <w:tc>
          <w:tcPr>
            <w:tcW w:w="5092" w:type="dxa"/>
            <w:tcBorders>
              <w:top w:val="nil"/>
            </w:tcBorders>
            <w:vAlign w:val="center"/>
          </w:tcPr>
          <w:p w14:paraId="3BFD2A52" w14:textId="77777777" w:rsidR="000324BB" w:rsidRPr="00B61114" w:rsidRDefault="000324BB" w:rsidP="000324BB">
            <w:pPr>
              <w:widowControl w:val="0"/>
              <w:numPr>
                <w:ilvl w:val="0"/>
                <w:numId w:val="30"/>
              </w:numPr>
              <w:spacing w:before="20" w:after="20"/>
              <w:ind w:left="325" w:hanging="309"/>
              <w:jc w:val="left"/>
              <w:rPr>
                <w:sz w:val="18"/>
                <w:szCs w:val="18"/>
              </w:rPr>
            </w:pPr>
            <w:r w:rsidRPr="00B61114">
              <w:rPr>
                <w:sz w:val="18"/>
                <w:szCs w:val="18"/>
              </w:rPr>
              <w:t>Inventarios de insumos</w:t>
            </w:r>
          </w:p>
        </w:tc>
        <w:tc>
          <w:tcPr>
            <w:tcW w:w="1224" w:type="dxa"/>
            <w:tcBorders>
              <w:top w:val="nil"/>
              <w:right w:val="nil"/>
            </w:tcBorders>
            <w:vAlign w:val="center"/>
          </w:tcPr>
          <w:p w14:paraId="7A4D7090" w14:textId="45894386" w:rsidR="000324BB" w:rsidRPr="000324BB" w:rsidRDefault="000324BB" w:rsidP="000324BB">
            <w:pPr>
              <w:tabs>
                <w:tab w:val="decimal" w:pos="556"/>
              </w:tabs>
              <w:jc w:val="left"/>
              <w:rPr>
                <w:sz w:val="18"/>
                <w:szCs w:val="18"/>
              </w:rPr>
            </w:pPr>
            <w:r w:rsidRPr="000324BB">
              <w:rPr>
                <w:color w:val="000000"/>
                <w:sz w:val="18"/>
                <w:szCs w:val="18"/>
              </w:rPr>
              <w:t xml:space="preserve">51.5 </w:t>
            </w:r>
          </w:p>
        </w:tc>
        <w:tc>
          <w:tcPr>
            <w:tcW w:w="1225" w:type="dxa"/>
            <w:tcBorders>
              <w:top w:val="nil"/>
              <w:left w:val="nil"/>
            </w:tcBorders>
            <w:vAlign w:val="center"/>
          </w:tcPr>
          <w:p w14:paraId="07E45048" w14:textId="45E9EE04" w:rsidR="000324BB" w:rsidRPr="000324BB" w:rsidRDefault="000324BB" w:rsidP="000324BB">
            <w:pPr>
              <w:tabs>
                <w:tab w:val="decimal" w:pos="584"/>
              </w:tabs>
              <w:jc w:val="left"/>
              <w:rPr>
                <w:sz w:val="18"/>
                <w:szCs w:val="18"/>
              </w:rPr>
            </w:pPr>
            <w:r w:rsidRPr="000324BB">
              <w:rPr>
                <w:color w:val="000000"/>
                <w:sz w:val="18"/>
                <w:szCs w:val="18"/>
              </w:rPr>
              <w:t xml:space="preserve">48.7 </w:t>
            </w:r>
          </w:p>
        </w:tc>
        <w:tc>
          <w:tcPr>
            <w:tcW w:w="1225" w:type="dxa"/>
            <w:tcBorders>
              <w:top w:val="nil"/>
            </w:tcBorders>
            <w:vAlign w:val="center"/>
          </w:tcPr>
          <w:p w14:paraId="5CE89952" w14:textId="16A8B3DD" w:rsidR="000324BB" w:rsidRPr="000324BB" w:rsidRDefault="000324BB" w:rsidP="000324BB">
            <w:pPr>
              <w:tabs>
                <w:tab w:val="decimal" w:pos="528"/>
              </w:tabs>
              <w:jc w:val="left"/>
              <w:rPr>
                <w:sz w:val="18"/>
                <w:szCs w:val="18"/>
              </w:rPr>
            </w:pPr>
            <w:r w:rsidRPr="000324BB">
              <w:rPr>
                <w:sz w:val="18"/>
                <w:szCs w:val="18"/>
              </w:rPr>
              <w:t>-2.8</w:t>
            </w:r>
          </w:p>
        </w:tc>
      </w:tr>
    </w:tbl>
    <w:p w14:paraId="01C2E204" w14:textId="77777777" w:rsidR="0007670F" w:rsidRPr="00B61114" w:rsidRDefault="0007670F" w:rsidP="00A3541F">
      <w:pPr>
        <w:widowControl w:val="0"/>
        <w:tabs>
          <w:tab w:val="left" w:pos="1276"/>
        </w:tabs>
        <w:spacing w:before="20"/>
        <w:ind w:left="709" w:right="713"/>
        <w:outlineLvl w:val="0"/>
        <w:rPr>
          <w:sz w:val="16"/>
          <w:szCs w:val="16"/>
        </w:rPr>
      </w:pPr>
      <w:r w:rsidRPr="00B61114">
        <w:rPr>
          <w:sz w:val="16"/>
          <w:szCs w:val="16"/>
        </w:rPr>
        <w:t>Nota:</w:t>
      </w:r>
      <w:r w:rsidRPr="00B61114">
        <w:rPr>
          <w:sz w:val="16"/>
          <w:szCs w:val="16"/>
        </w:rPr>
        <w:tab/>
        <w:t xml:space="preserve">Los indicadores se generan con los datos referentes al mes de la entrevista. </w:t>
      </w:r>
    </w:p>
    <w:p w14:paraId="2C656F66" w14:textId="77777777" w:rsidR="0007670F" w:rsidRPr="00B61114" w:rsidRDefault="0007670F" w:rsidP="00A3541F">
      <w:pPr>
        <w:widowControl w:val="0"/>
        <w:tabs>
          <w:tab w:val="left" w:pos="1276"/>
        </w:tabs>
        <w:ind w:left="709"/>
        <w:rPr>
          <w:sz w:val="16"/>
          <w:szCs w:val="16"/>
        </w:rPr>
      </w:pPr>
      <w:r w:rsidRPr="00B61114">
        <w:rPr>
          <w:sz w:val="18"/>
          <w:szCs w:val="18"/>
          <w:vertAlign w:val="superscript"/>
        </w:rPr>
        <w:t>1/</w:t>
      </w:r>
      <w:r w:rsidRPr="00B61114">
        <w:rPr>
          <w:sz w:val="16"/>
          <w:szCs w:val="16"/>
        </w:rPr>
        <w:tab/>
        <w:t>Las diferencias en puntos se obtienen de los respectivos indicadores considerando todos sus decimales.</w:t>
      </w:r>
    </w:p>
    <w:p w14:paraId="4A6F5B85" w14:textId="2AAE53B6" w:rsidR="0007670F" w:rsidRPr="00B61114" w:rsidRDefault="0007670F" w:rsidP="00A3541F">
      <w:pPr>
        <w:widowControl w:val="0"/>
        <w:tabs>
          <w:tab w:val="left" w:pos="1276"/>
        </w:tabs>
        <w:ind w:left="709"/>
        <w:outlineLvl w:val="0"/>
        <w:rPr>
          <w:sz w:val="16"/>
          <w:szCs w:val="16"/>
        </w:rPr>
      </w:pPr>
      <w:r w:rsidRPr="00B61114">
        <w:rPr>
          <w:sz w:val="18"/>
          <w:szCs w:val="18"/>
          <w:vertAlign w:val="superscript"/>
        </w:rPr>
        <w:t>p/</w:t>
      </w:r>
      <w:r w:rsidRPr="00B61114">
        <w:rPr>
          <w:sz w:val="16"/>
          <w:szCs w:val="16"/>
        </w:rPr>
        <w:tab/>
        <w:t>Dato preliminar</w:t>
      </w:r>
      <w:r w:rsidR="0085046E" w:rsidRPr="00B61114">
        <w:rPr>
          <w:sz w:val="16"/>
          <w:szCs w:val="16"/>
        </w:rPr>
        <w:t>.</w:t>
      </w:r>
    </w:p>
    <w:p w14:paraId="2D16E864" w14:textId="6BCB2F18" w:rsidR="00AB6F59" w:rsidRPr="00B61114" w:rsidRDefault="00AB6F59" w:rsidP="00A3541F">
      <w:pPr>
        <w:widowControl w:val="0"/>
        <w:tabs>
          <w:tab w:val="left" w:pos="1276"/>
        </w:tabs>
        <w:ind w:left="709"/>
        <w:outlineLvl w:val="0"/>
        <w:rPr>
          <w:b/>
          <w:bCs/>
          <w:smallCaps/>
          <w:kern w:val="32"/>
          <w:sz w:val="16"/>
          <w:szCs w:val="16"/>
        </w:rPr>
      </w:pPr>
      <w:r w:rsidRPr="00B61114">
        <w:rPr>
          <w:sz w:val="16"/>
          <w:szCs w:val="16"/>
        </w:rPr>
        <w:t>Fuente:</w:t>
      </w:r>
      <w:r w:rsidR="00580C8B" w:rsidRPr="00B61114">
        <w:rPr>
          <w:sz w:val="16"/>
          <w:szCs w:val="16"/>
        </w:rPr>
        <w:tab/>
      </w:r>
      <w:r w:rsidR="0085046E" w:rsidRPr="00B61114">
        <w:rPr>
          <w:smallCaps/>
          <w:sz w:val="16"/>
          <w:szCs w:val="16"/>
        </w:rPr>
        <w:t>inegi</w:t>
      </w:r>
      <w:r w:rsidRPr="00B61114">
        <w:rPr>
          <w:sz w:val="16"/>
          <w:szCs w:val="16"/>
        </w:rPr>
        <w:t xml:space="preserve"> y Banco de México</w:t>
      </w:r>
      <w:r w:rsidR="00ED4D2F" w:rsidRPr="00B61114">
        <w:rPr>
          <w:sz w:val="16"/>
          <w:szCs w:val="16"/>
        </w:rPr>
        <w:t xml:space="preserve">. </w:t>
      </w:r>
      <w:proofErr w:type="spellStart"/>
      <w:r w:rsidR="0085046E" w:rsidRPr="00B61114">
        <w:rPr>
          <w:smallCaps/>
          <w:sz w:val="16"/>
          <w:szCs w:val="16"/>
        </w:rPr>
        <w:t>emoe</w:t>
      </w:r>
      <w:proofErr w:type="spellEnd"/>
      <w:r w:rsidR="00ED4D2F" w:rsidRPr="00B61114">
        <w:rPr>
          <w:sz w:val="16"/>
          <w:szCs w:val="16"/>
        </w:rPr>
        <w:t>, 202</w:t>
      </w:r>
      <w:r w:rsidR="0030429B">
        <w:rPr>
          <w:sz w:val="16"/>
          <w:szCs w:val="16"/>
        </w:rPr>
        <w:t>4</w:t>
      </w:r>
      <w:r w:rsidR="00ED4D2F" w:rsidRPr="00B61114">
        <w:rPr>
          <w:sz w:val="16"/>
          <w:szCs w:val="16"/>
        </w:rPr>
        <w:t>.</w:t>
      </w:r>
    </w:p>
    <w:p w14:paraId="62DE0D75" w14:textId="78086770" w:rsidR="0007670F" w:rsidRPr="00B61114" w:rsidRDefault="0007670F" w:rsidP="00A3541F">
      <w:pPr>
        <w:keepNext/>
        <w:keepLines/>
        <w:widowControl w:val="0"/>
        <w:tabs>
          <w:tab w:val="left" w:pos="1276"/>
        </w:tabs>
        <w:spacing w:before="480"/>
        <w:ind w:left="709"/>
        <w:rPr>
          <w:b/>
        </w:rPr>
      </w:pPr>
      <w:r w:rsidRPr="00B61114">
        <w:rPr>
          <w:sz w:val="16"/>
          <w:szCs w:val="16"/>
        </w:rPr>
        <w:br w:type="page"/>
      </w:r>
      <w:r w:rsidRPr="00B61114">
        <w:rPr>
          <w:b/>
        </w:rPr>
        <w:lastRenderedPageBreak/>
        <w:t xml:space="preserve">Indicador de </w:t>
      </w:r>
      <w:r w:rsidR="000E2D35">
        <w:rPr>
          <w:b/>
        </w:rPr>
        <w:t>P</w:t>
      </w:r>
      <w:r w:rsidRPr="00B61114">
        <w:rPr>
          <w:b/>
        </w:rPr>
        <w:t xml:space="preserve">edidos </w:t>
      </w:r>
      <w:r w:rsidR="000E2D35">
        <w:rPr>
          <w:b/>
        </w:rPr>
        <w:t>M</w:t>
      </w:r>
      <w:r w:rsidRPr="00B61114">
        <w:rPr>
          <w:b/>
        </w:rPr>
        <w:t>anufactureros por grupos de subsectores de actividad</w:t>
      </w:r>
    </w:p>
    <w:p w14:paraId="7BB72621" w14:textId="05E88206" w:rsidR="00DC335D" w:rsidRPr="00B61114" w:rsidRDefault="001A50CE" w:rsidP="00751877">
      <w:pPr>
        <w:pStyle w:val="p0"/>
        <w:rPr>
          <w:rFonts w:ascii="Arial" w:hAnsi="Arial"/>
          <w:snapToGrid/>
          <w:color w:val="auto"/>
          <w:lang w:val="es-ES"/>
        </w:rPr>
      </w:pPr>
      <w:r w:rsidRPr="00B61114">
        <w:rPr>
          <w:rFonts w:ascii="Arial" w:hAnsi="Arial"/>
          <w:snapToGrid/>
          <w:color w:val="auto"/>
          <w:lang w:val="es-ES"/>
        </w:rPr>
        <w:t xml:space="preserve">En </w:t>
      </w:r>
      <w:r w:rsidR="00EA7185">
        <w:rPr>
          <w:rFonts w:ascii="Arial" w:hAnsi="Arial"/>
          <w:snapToGrid/>
          <w:color w:val="auto"/>
          <w:lang w:val="es-ES"/>
        </w:rPr>
        <w:t>febrero del año en curso</w:t>
      </w:r>
      <w:r w:rsidR="00DE1A46" w:rsidRPr="00B61114">
        <w:rPr>
          <w:rFonts w:ascii="Arial" w:hAnsi="Arial"/>
          <w:snapToGrid/>
          <w:color w:val="auto"/>
          <w:lang w:val="es-ES"/>
        </w:rPr>
        <w:t xml:space="preserve"> y con </w:t>
      </w:r>
      <w:r w:rsidR="00EA7185">
        <w:rPr>
          <w:rFonts w:ascii="Arial" w:hAnsi="Arial"/>
          <w:snapToGrid/>
          <w:color w:val="auto"/>
          <w:lang w:val="es-ES"/>
        </w:rPr>
        <w:t>datos sin desestacionalizar</w:t>
      </w:r>
      <w:r w:rsidR="00DE1A46" w:rsidRPr="00B61114">
        <w:rPr>
          <w:rFonts w:ascii="Arial" w:hAnsi="Arial"/>
          <w:snapToGrid/>
          <w:color w:val="auto"/>
          <w:lang w:val="es-ES"/>
        </w:rPr>
        <w:t>,</w:t>
      </w:r>
      <w:r w:rsidRPr="00B61114">
        <w:rPr>
          <w:rFonts w:ascii="Arial" w:hAnsi="Arial"/>
          <w:snapToGrid/>
          <w:color w:val="auto"/>
          <w:lang w:val="es-ES"/>
        </w:rPr>
        <w:t xml:space="preserve"> el agregado </w:t>
      </w:r>
      <w:r w:rsidR="000E341D" w:rsidRPr="00B61114">
        <w:rPr>
          <w:rFonts w:ascii="Arial" w:hAnsi="Arial"/>
          <w:snapToGrid/>
          <w:color w:val="auto"/>
          <w:lang w:val="es-ES"/>
        </w:rPr>
        <w:t xml:space="preserve">de </w:t>
      </w:r>
      <w:r w:rsidRPr="00B61114">
        <w:rPr>
          <w:rFonts w:ascii="Arial" w:hAnsi="Arial"/>
          <w:snapToGrid/>
          <w:color w:val="auto"/>
          <w:lang w:val="es-ES"/>
        </w:rPr>
        <w:t>Alimentos, bebidas y tabaco</w:t>
      </w:r>
      <w:r w:rsidR="00AC6FB7">
        <w:rPr>
          <w:rFonts w:ascii="Arial" w:hAnsi="Arial"/>
          <w:snapToGrid/>
          <w:color w:val="auto"/>
          <w:lang w:val="es-ES"/>
        </w:rPr>
        <w:t xml:space="preserve"> mostró</w:t>
      </w:r>
      <w:r w:rsidR="002B64AA">
        <w:rPr>
          <w:rFonts w:ascii="Arial" w:hAnsi="Arial"/>
          <w:snapToGrid/>
          <w:color w:val="auto"/>
          <w:lang w:val="es-ES"/>
        </w:rPr>
        <w:t xml:space="preserve"> un</w:t>
      </w:r>
      <w:r w:rsidR="00EA7185">
        <w:rPr>
          <w:rFonts w:ascii="Arial" w:hAnsi="Arial"/>
          <w:snapToGrid/>
          <w:color w:val="auto"/>
          <w:lang w:val="es-ES"/>
        </w:rPr>
        <w:t xml:space="preserve"> incremento</w:t>
      </w:r>
      <w:r w:rsidR="00471A68" w:rsidRPr="00B61114">
        <w:rPr>
          <w:rFonts w:ascii="Arial" w:hAnsi="Arial"/>
          <w:snapToGrid/>
          <w:color w:val="auto"/>
          <w:lang w:val="es-ES"/>
        </w:rPr>
        <w:t xml:space="preserve"> anual de </w:t>
      </w:r>
      <w:r w:rsidR="002B64AA">
        <w:rPr>
          <w:rFonts w:ascii="Arial" w:hAnsi="Arial"/>
          <w:snapToGrid/>
          <w:color w:val="auto"/>
          <w:lang w:val="es-ES"/>
        </w:rPr>
        <w:t>0.</w:t>
      </w:r>
      <w:r w:rsidR="00EA7185">
        <w:rPr>
          <w:rFonts w:ascii="Arial" w:hAnsi="Arial"/>
          <w:snapToGrid/>
          <w:color w:val="auto"/>
          <w:lang w:val="es-ES"/>
        </w:rPr>
        <w:t>8</w:t>
      </w:r>
      <w:r w:rsidR="00471A68" w:rsidRPr="00B61114">
        <w:rPr>
          <w:rFonts w:ascii="Arial" w:hAnsi="Arial"/>
          <w:snapToGrid/>
          <w:color w:val="auto"/>
          <w:lang w:val="es-ES"/>
        </w:rPr>
        <w:t xml:space="preserve"> puntos</w:t>
      </w:r>
      <w:r w:rsidRPr="00B61114">
        <w:rPr>
          <w:rFonts w:ascii="Arial" w:hAnsi="Arial"/>
          <w:snapToGrid/>
          <w:color w:val="auto"/>
          <w:lang w:val="es-ES"/>
        </w:rPr>
        <w:t>; Derivados del petróleo y del carbón, industria química, del plástico y del hule</w:t>
      </w:r>
      <w:r w:rsidR="00EA7185">
        <w:rPr>
          <w:rFonts w:ascii="Arial" w:hAnsi="Arial"/>
          <w:snapToGrid/>
          <w:color w:val="auto"/>
          <w:lang w:val="es-ES"/>
        </w:rPr>
        <w:t>,</w:t>
      </w:r>
      <w:r w:rsidRPr="00B61114">
        <w:rPr>
          <w:rFonts w:ascii="Arial" w:hAnsi="Arial"/>
          <w:snapToGrid/>
          <w:color w:val="auto"/>
          <w:lang w:val="es-ES"/>
        </w:rPr>
        <w:t xml:space="preserve"> </w:t>
      </w:r>
      <w:r w:rsidR="00EA7185">
        <w:rPr>
          <w:rFonts w:ascii="Arial" w:hAnsi="Arial"/>
          <w:snapToGrid/>
          <w:color w:val="auto"/>
          <w:lang w:val="es-ES"/>
        </w:rPr>
        <w:t>5.1</w:t>
      </w:r>
      <w:r w:rsidRPr="00B61114">
        <w:rPr>
          <w:rFonts w:ascii="Arial" w:hAnsi="Arial"/>
          <w:snapToGrid/>
          <w:color w:val="auto"/>
          <w:lang w:val="es-ES"/>
        </w:rPr>
        <w:t xml:space="preserve"> punto</w:t>
      </w:r>
      <w:r w:rsidR="00AC6FB7">
        <w:rPr>
          <w:rFonts w:ascii="Arial" w:hAnsi="Arial"/>
          <w:snapToGrid/>
          <w:color w:val="auto"/>
          <w:lang w:val="es-ES"/>
        </w:rPr>
        <w:t>s</w:t>
      </w:r>
      <w:r w:rsidRPr="00B61114">
        <w:rPr>
          <w:rFonts w:ascii="Arial" w:hAnsi="Arial"/>
          <w:snapToGrid/>
          <w:color w:val="auto"/>
          <w:lang w:val="es-ES"/>
        </w:rPr>
        <w:t>; Minerales no metálicos y metálicas básicas</w:t>
      </w:r>
      <w:r w:rsidR="00AC6FB7">
        <w:rPr>
          <w:rFonts w:ascii="Arial" w:hAnsi="Arial"/>
          <w:snapToGrid/>
          <w:color w:val="auto"/>
          <w:lang w:val="es-ES"/>
        </w:rPr>
        <w:t>,</w:t>
      </w:r>
      <w:r w:rsidR="00CF0F39">
        <w:rPr>
          <w:rFonts w:ascii="Arial" w:hAnsi="Arial"/>
          <w:snapToGrid/>
          <w:color w:val="auto"/>
          <w:lang w:val="es-ES"/>
        </w:rPr>
        <w:t xml:space="preserve"> </w:t>
      </w:r>
      <w:r w:rsidR="00EA7185">
        <w:rPr>
          <w:rFonts w:ascii="Arial" w:hAnsi="Arial"/>
          <w:snapToGrid/>
          <w:color w:val="auto"/>
          <w:lang w:val="es-ES"/>
        </w:rPr>
        <w:t>2.7</w:t>
      </w:r>
      <w:r w:rsidR="00511AEF" w:rsidRPr="00B61114">
        <w:rPr>
          <w:rFonts w:ascii="Arial" w:hAnsi="Arial"/>
          <w:snapToGrid/>
          <w:color w:val="auto"/>
          <w:lang w:val="es-ES"/>
        </w:rPr>
        <w:t xml:space="preserve"> puntos</w:t>
      </w:r>
      <w:r w:rsidRPr="00B61114">
        <w:rPr>
          <w:rFonts w:ascii="Arial" w:hAnsi="Arial"/>
          <w:snapToGrid/>
          <w:color w:val="auto"/>
          <w:lang w:val="es-ES"/>
        </w:rPr>
        <w:t xml:space="preserve">; Equipo de computación, accesorios electrónicos y aparatos eléctricos </w:t>
      </w:r>
      <w:r w:rsidR="00EA7185">
        <w:rPr>
          <w:rFonts w:ascii="Arial" w:hAnsi="Arial"/>
          <w:snapToGrid/>
          <w:color w:val="auto"/>
          <w:lang w:val="es-ES"/>
        </w:rPr>
        <w:t>disminuyó</w:t>
      </w:r>
      <w:r w:rsidR="00395B80">
        <w:rPr>
          <w:rFonts w:ascii="Arial" w:hAnsi="Arial"/>
          <w:snapToGrid/>
          <w:color w:val="auto"/>
          <w:lang w:val="es-ES"/>
        </w:rPr>
        <w:t xml:space="preserve"> </w:t>
      </w:r>
      <w:r w:rsidR="00EA7185">
        <w:rPr>
          <w:rFonts w:ascii="Arial" w:hAnsi="Arial"/>
          <w:snapToGrid/>
          <w:color w:val="auto"/>
          <w:lang w:val="es-ES"/>
        </w:rPr>
        <w:t>0.2</w:t>
      </w:r>
      <w:r w:rsidR="00AC6FB7">
        <w:rPr>
          <w:rFonts w:ascii="Arial" w:hAnsi="Arial"/>
          <w:snapToGrid/>
          <w:color w:val="auto"/>
          <w:lang w:val="es-ES"/>
        </w:rPr>
        <w:t xml:space="preserve"> puntos</w:t>
      </w:r>
      <w:r w:rsidRPr="00B61114">
        <w:rPr>
          <w:rFonts w:ascii="Arial" w:hAnsi="Arial"/>
          <w:snapToGrid/>
          <w:color w:val="auto"/>
          <w:lang w:val="es-ES"/>
        </w:rPr>
        <w:t>; Equipo de transport</w:t>
      </w:r>
      <w:r w:rsidR="00CF0F39">
        <w:rPr>
          <w:rFonts w:ascii="Arial" w:hAnsi="Arial"/>
          <w:snapToGrid/>
          <w:color w:val="auto"/>
          <w:lang w:val="es-ES"/>
        </w:rPr>
        <w:t>e</w:t>
      </w:r>
      <w:r w:rsidR="00EA7185">
        <w:rPr>
          <w:rFonts w:ascii="Arial" w:hAnsi="Arial"/>
          <w:snapToGrid/>
          <w:color w:val="auto"/>
          <w:lang w:val="es-ES"/>
        </w:rPr>
        <w:t xml:space="preserve"> creció</w:t>
      </w:r>
      <w:r w:rsidR="00AC6FB7">
        <w:rPr>
          <w:rFonts w:ascii="Arial" w:hAnsi="Arial"/>
          <w:snapToGrid/>
          <w:color w:val="auto"/>
          <w:lang w:val="es-ES"/>
        </w:rPr>
        <w:t xml:space="preserve"> </w:t>
      </w:r>
      <w:r w:rsidR="00EA7185">
        <w:rPr>
          <w:rFonts w:ascii="Arial" w:hAnsi="Arial"/>
          <w:snapToGrid/>
          <w:color w:val="auto"/>
          <w:lang w:val="es-ES"/>
        </w:rPr>
        <w:t>0.8</w:t>
      </w:r>
      <w:r w:rsidRPr="00B61114">
        <w:rPr>
          <w:rFonts w:ascii="Arial" w:hAnsi="Arial"/>
          <w:snapToGrid/>
          <w:color w:val="auto"/>
          <w:lang w:val="es-ES"/>
        </w:rPr>
        <w:t xml:space="preserve"> puntos; Productos metálicos, maquinaria, equipo y muebles</w:t>
      </w:r>
      <w:r w:rsidR="00EA7185">
        <w:rPr>
          <w:rFonts w:ascii="Arial" w:hAnsi="Arial"/>
          <w:snapToGrid/>
          <w:color w:val="auto"/>
          <w:lang w:val="es-ES"/>
        </w:rPr>
        <w:t xml:space="preserve"> cayó</w:t>
      </w:r>
      <w:r w:rsidR="00471A68" w:rsidRPr="00B61114">
        <w:rPr>
          <w:rFonts w:ascii="Arial" w:hAnsi="Arial"/>
          <w:snapToGrid/>
          <w:color w:val="auto"/>
          <w:lang w:val="es-ES"/>
        </w:rPr>
        <w:t xml:space="preserve"> </w:t>
      </w:r>
      <w:r w:rsidR="00EA7185">
        <w:rPr>
          <w:rFonts w:ascii="Arial" w:hAnsi="Arial"/>
          <w:snapToGrid/>
          <w:color w:val="auto"/>
          <w:lang w:val="es-ES"/>
        </w:rPr>
        <w:t>0.5</w:t>
      </w:r>
      <w:r w:rsidR="00471A68" w:rsidRPr="00B61114">
        <w:rPr>
          <w:rFonts w:ascii="Arial" w:hAnsi="Arial"/>
          <w:snapToGrid/>
          <w:color w:val="auto"/>
          <w:lang w:val="es-ES"/>
        </w:rPr>
        <w:t xml:space="preserve"> </w:t>
      </w:r>
      <w:r w:rsidRPr="00B61114">
        <w:rPr>
          <w:rFonts w:ascii="Arial" w:hAnsi="Arial"/>
          <w:snapToGrid/>
          <w:color w:val="auto"/>
          <w:lang w:val="es-ES"/>
        </w:rPr>
        <w:t>puntos y Textiles, prendas de vestir, cuero y piel, madera, papel y otras</w:t>
      </w:r>
      <w:r w:rsidR="00217137">
        <w:rPr>
          <w:rFonts w:ascii="Arial" w:hAnsi="Arial"/>
          <w:snapToGrid/>
          <w:color w:val="auto"/>
          <w:lang w:val="es-ES"/>
        </w:rPr>
        <w:t>,</w:t>
      </w:r>
      <w:r w:rsidR="00CF0F39">
        <w:rPr>
          <w:rFonts w:ascii="Arial" w:hAnsi="Arial"/>
          <w:snapToGrid/>
          <w:color w:val="auto"/>
          <w:lang w:val="es-ES"/>
        </w:rPr>
        <w:t xml:space="preserve"> </w:t>
      </w:r>
      <w:r w:rsidR="00EA7185">
        <w:rPr>
          <w:rFonts w:ascii="Arial" w:hAnsi="Arial"/>
          <w:snapToGrid/>
          <w:color w:val="auto"/>
          <w:lang w:val="es-ES"/>
        </w:rPr>
        <w:t>0.7</w:t>
      </w:r>
      <w:r w:rsidR="00CF0F39">
        <w:rPr>
          <w:rFonts w:ascii="Arial" w:hAnsi="Arial"/>
          <w:snapToGrid/>
          <w:color w:val="auto"/>
          <w:lang w:val="es-ES"/>
        </w:rPr>
        <w:t xml:space="preserve"> </w:t>
      </w:r>
      <w:r w:rsidRPr="00B61114">
        <w:rPr>
          <w:rFonts w:ascii="Arial" w:hAnsi="Arial"/>
          <w:snapToGrid/>
          <w:color w:val="auto"/>
          <w:lang w:val="es-ES"/>
        </w:rPr>
        <w:t>punto</w:t>
      </w:r>
      <w:r w:rsidR="00CF0F39">
        <w:rPr>
          <w:rFonts w:ascii="Arial" w:hAnsi="Arial"/>
          <w:snapToGrid/>
          <w:color w:val="auto"/>
          <w:lang w:val="es-ES"/>
        </w:rPr>
        <w:t>s</w:t>
      </w:r>
      <w:r w:rsidRPr="00B61114">
        <w:rPr>
          <w:rFonts w:ascii="Arial" w:hAnsi="Arial"/>
          <w:snapToGrid/>
          <w:color w:val="auto"/>
          <w:lang w:val="es-ES"/>
        </w:rPr>
        <w:t>.</w:t>
      </w:r>
    </w:p>
    <w:p w14:paraId="5F76E286" w14:textId="3126A1C8" w:rsidR="007F632F" w:rsidRPr="00B61114" w:rsidRDefault="007F632F" w:rsidP="00AF3DBB">
      <w:pPr>
        <w:spacing w:before="240"/>
        <w:jc w:val="center"/>
        <w:outlineLvl w:val="0"/>
        <w:rPr>
          <w:sz w:val="20"/>
        </w:rPr>
      </w:pPr>
      <w:r w:rsidRPr="00B61114">
        <w:rPr>
          <w:sz w:val="20"/>
        </w:rPr>
        <w:t>Cuadro 3</w:t>
      </w:r>
    </w:p>
    <w:p w14:paraId="3C3EBE05" w14:textId="01BFB179" w:rsidR="0007670F" w:rsidRPr="00B61114" w:rsidRDefault="00EA663E" w:rsidP="00AF3DBB">
      <w:pPr>
        <w:jc w:val="center"/>
        <w:outlineLvl w:val="0"/>
        <w:rPr>
          <w:b/>
          <w:smallCaps/>
          <w:sz w:val="22"/>
        </w:rPr>
      </w:pPr>
      <w:r w:rsidRPr="00B61114">
        <w:rPr>
          <w:b/>
          <w:smallCaps/>
          <w:sz w:val="22"/>
        </w:rPr>
        <w:t>indicador de pedidos manufactureros por grupos de subsectores de actividad</w:t>
      </w:r>
    </w:p>
    <w:p w14:paraId="1FBE475E" w14:textId="36D94B39" w:rsidR="0085046E" w:rsidRPr="00B61114" w:rsidRDefault="00F223A5" w:rsidP="00AF3DBB">
      <w:pPr>
        <w:jc w:val="center"/>
        <w:outlineLvl w:val="0"/>
        <w:rPr>
          <w:b/>
          <w:smallCaps/>
          <w:sz w:val="20"/>
          <w:szCs w:val="20"/>
        </w:rPr>
      </w:pPr>
      <w:r>
        <w:rPr>
          <w:bCs/>
          <w:sz w:val="20"/>
          <w:szCs w:val="20"/>
        </w:rPr>
        <w:t>febrero</w:t>
      </w:r>
      <w:r w:rsidR="0085046E" w:rsidRPr="00B61114">
        <w:rPr>
          <w:bCs/>
          <w:sz w:val="20"/>
          <w:szCs w:val="20"/>
        </w:rPr>
        <w:t xml:space="preserve"> de 202</w:t>
      </w:r>
      <w:r w:rsidR="00B14775">
        <w:rPr>
          <w:bCs/>
          <w:sz w:val="20"/>
          <w:szCs w:val="20"/>
        </w:rPr>
        <w:t>3</w:t>
      </w:r>
      <w:r w:rsidR="0085046E" w:rsidRPr="00B61114">
        <w:rPr>
          <w:bCs/>
          <w:sz w:val="20"/>
          <w:szCs w:val="20"/>
        </w:rPr>
        <w:t xml:space="preserve"> y 202</w:t>
      </w:r>
      <w:r w:rsidR="00B14775">
        <w:rPr>
          <w:bCs/>
          <w:sz w:val="20"/>
          <w:szCs w:val="20"/>
        </w:rPr>
        <w:t>4</w:t>
      </w:r>
    </w:p>
    <w:p w14:paraId="1024E22D" w14:textId="2FA3AEFC" w:rsidR="00ED4D2F" w:rsidRPr="00B61114" w:rsidRDefault="00ED4D2F" w:rsidP="00ED4D2F">
      <w:pPr>
        <w:jc w:val="center"/>
        <w:rPr>
          <w:bCs/>
          <w:sz w:val="18"/>
          <w:szCs w:val="18"/>
        </w:rPr>
      </w:pPr>
      <w:r w:rsidRPr="00B61114">
        <w:rPr>
          <w:bCs/>
          <w:sz w:val="18"/>
          <w:szCs w:val="18"/>
        </w:rPr>
        <w:t>(</w:t>
      </w:r>
      <w:r w:rsidR="0085046E" w:rsidRPr="00B61114">
        <w:rPr>
          <w:bCs/>
          <w:sz w:val="18"/>
          <w:szCs w:val="18"/>
        </w:rPr>
        <w:t>p</w:t>
      </w:r>
      <w:r w:rsidRPr="00B61114">
        <w:rPr>
          <w:bCs/>
          <w:sz w:val="18"/>
          <w:szCs w:val="18"/>
        </w:rPr>
        <w:t>untos)</w:t>
      </w:r>
    </w:p>
    <w:tbl>
      <w:tblPr>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70" w:type="dxa"/>
          <w:right w:w="70" w:type="dxa"/>
        </w:tblCellMar>
        <w:tblLook w:val="0000" w:firstRow="0" w:lastRow="0" w:firstColumn="0" w:lastColumn="0" w:noHBand="0" w:noVBand="0"/>
      </w:tblPr>
      <w:tblGrid>
        <w:gridCol w:w="6706"/>
        <w:gridCol w:w="1006"/>
        <w:gridCol w:w="1006"/>
        <w:gridCol w:w="1246"/>
      </w:tblGrid>
      <w:tr w:rsidR="005B0949" w:rsidRPr="00B61114" w14:paraId="2491F8D2" w14:textId="77777777" w:rsidTr="005B4197">
        <w:trPr>
          <w:cantSplit/>
          <w:trHeight w:val="300"/>
          <w:jc w:val="center"/>
        </w:trPr>
        <w:tc>
          <w:tcPr>
            <w:tcW w:w="3365" w:type="pct"/>
            <w:vMerge w:val="restart"/>
            <w:shd w:val="clear" w:color="auto" w:fill="CCCCFF"/>
            <w:vAlign w:val="center"/>
          </w:tcPr>
          <w:p w14:paraId="52986142" w14:textId="77777777" w:rsidR="00164039" w:rsidRPr="00B61114" w:rsidRDefault="00164039" w:rsidP="00AF3DBB">
            <w:pPr>
              <w:spacing w:before="60" w:after="60" w:line="240" w:lineRule="atLeast"/>
              <w:rPr>
                <w:sz w:val="18"/>
                <w:szCs w:val="18"/>
              </w:rPr>
            </w:pPr>
            <w:r w:rsidRPr="00B61114">
              <w:rPr>
                <w:sz w:val="18"/>
                <w:szCs w:val="18"/>
              </w:rPr>
              <w:t>Grupos</w:t>
            </w:r>
          </w:p>
        </w:tc>
        <w:tc>
          <w:tcPr>
            <w:tcW w:w="1010" w:type="pct"/>
            <w:gridSpan w:val="2"/>
            <w:shd w:val="clear" w:color="auto" w:fill="CCCCFF"/>
            <w:vAlign w:val="center"/>
          </w:tcPr>
          <w:p w14:paraId="3AD80275" w14:textId="25DB3E51" w:rsidR="00164039" w:rsidRPr="00B61114" w:rsidRDefault="00F223A5" w:rsidP="00AF3DBB">
            <w:pPr>
              <w:spacing w:before="40" w:after="40" w:line="240" w:lineRule="exact"/>
              <w:jc w:val="center"/>
              <w:rPr>
                <w:sz w:val="18"/>
                <w:szCs w:val="18"/>
              </w:rPr>
            </w:pPr>
            <w:r>
              <w:rPr>
                <w:sz w:val="18"/>
                <w:szCs w:val="18"/>
              </w:rPr>
              <w:t>Febrero</w:t>
            </w:r>
          </w:p>
        </w:tc>
        <w:tc>
          <w:tcPr>
            <w:tcW w:w="625" w:type="pct"/>
            <w:vMerge w:val="restart"/>
            <w:shd w:val="clear" w:color="auto" w:fill="CCCCFF"/>
            <w:vAlign w:val="center"/>
          </w:tcPr>
          <w:p w14:paraId="0BE32869" w14:textId="3875CC8F" w:rsidR="00164039" w:rsidRPr="00B61114" w:rsidRDefault="00164039" w:rsidP="00AF3DBB">
            <w:pPr>
              <w:spacing w:before="60" w:after="60" w:line="240" w:lineRule="exact"/>
              <w:jc w:val="center"/>
              <w:rPr>
                <w:sz w:val="18"/>
                <w:szCs w:val="18"/>
              </w:rPr>
            </w:pPr>
            <w:r w:rsidRPr="00B61114">
              <w:rPr>
                <w:sz w:val="18"/>
                <w:szCs w:val="18"/>
              </w:rPr>
              <w:t xml:space="preserve">Diferencia </w:t>
            </w:r>
            <w:r w:rsidR="00264A54" w:rsidRPr="00B61114">
              <w:rPr>
                <w:sz w:val="18"/>
                <w:szCs w:val="18"/>
              </w:rPr>
              <w:t>anual</w:t>
            </w:r>
            <w:r w:rsidRPr="00B61114">
              <w:rPr>
                <w:sz w:val="18"/>
                <w:szCs w:val="18"/>
                <w:vertAlign w:val="superscript"/>
              </w:rPr>
              <w:t>1/</w:t>
            </w:r>
          </w:p>
        </w:tc>
      </w:tr>
      <w:tr w:rsidR="005B0949" w:rsidRPr="00B61114" w14:paraId="1DCD25B6" w14:textId="77777777" w:rsidTr="005B4197">
        <w:trPr>
          <w:cantSplit/>
          <w:trHeight w:val="300"/>
          <w:jc w:val="center"/>
        </w:trPr>
        <w:tc>
          <w:tcPr>
            <w:tcW w:w="3365" w:type="pct"/>
            <w:vMerge/>
            <w:tcBorders>
              <w:bottom w:val="single" w:sz="4" w:space="0" w:color="404040" w:themeColor="text1" w:themeTint="BF"/>
            </w:tcBorders>
            <w:vAlign w:val="center"/>
          </w:tcPr>
          <w:p w14:paraId="0F035E5E" w14:textId="77777777" w:rsidR="0007670F" w:rsidRPr="00B61114" w:rsidRDefault="0007670F" w:rsidP="00AF3DBB">
            <w:pPr>
              <w:spacing w:before="60" w:after="60" w:line="240" w:lineRule="atLeast"/>
              <w:jc w:val="center"/>
              <w:rPr>
                <w:sz w:val="18"/>
                <w:szCs w:val="18"/>
              </w:rPr>
            </w:pPr>
          </w:p>
        </w:tc>
        <w:tc>
          <w:tcPr>
            <w:tcW w:w="505" w:type="pct"/>
            <w:tcBorders>
              <w:bottom w:val="single" w:sz="4" w:space="0" w:color="404040" w:themeColor="text1" w:themeTint="BF"/>
            </w:tcBorders>
            <w:shd w:val="clear" w:color="auto" w:fill="CCCCFF"/>
            <w:vAlign w:val="center"/>
          </w:tcPr>
          <w:p w14:paraId="0F47F9F8" w14:textId="4126A6DF" w:rsidR="0007670F" w:rsidRPr="00B61114" w:rsidRDefault="007F632F" w:rsidP="00AF3DBB">
            <w:pPr>
              <w:spacing w:line="240" w:lineRule="exact"/>
              <w:jc w:val="center"/>
              <w:rPr>
                <w:sz w:val="18"/>
                <w:szCs w:val="18"/>
              </w:rPr>
            </w:pPr>
            <w:r w:rsidRPr="00B61114">
              <w:rPr>
                <w:sz w:val="18"/>
                <w:szCs w:val="18"/>
              </w:rPr>
              <w:t>202</w:t>
            </w:r>
            <w:r w:rsidR="00B14775">
              <w:rPr>
                <w:sz w:val="18"/>
                <w:szCs w:val="18"/>
              </w:rPr>
              <w:t>3</w:t>
            </w:r>
          </w:p>
        </w:tc>
        <w:tc>
          <w:tcPr>
            <w:tcW w:w="505" w:type="pct"/>
            <w:tcBorders>
              <w:bottom w:val="single" w:sz="4" w:space="0" w:color="404040" w:themeColor="text1" w:themeTint="BF"/>
            </w:tcBorders>
            <w:shd w:val="clear" w:color="auto" w:fill="CCCCFF"/>
            <w:vAlign w:val="center"/>
          </w:tcPr>
          <w:p w14:paraId="574D4CF3" w14:textId="61BE5517" w:rsidR="0007670F" w:rsidRPr="00B61114" w:rsidRDefault="007F632F" w:rsidP="00AF3DBB">
            <w:pPr>
              <w:spacing w:line="240" w:lineRule="exact"/>
              <w:jc w:val="center"/>
              <w:rPr>
                <w:sz w:val="18"/>
                <w:szCs w:val="18"/>
              </w:rPr>
            </w:pPr>
            <w:r w:rsidRPr="00B61114">
              <w:rPr>
                <w:sz w:val="18"/>
                <w:szCs w:val="18"/>
              </w:rPr>
              <w:t>202</w:t>
            </w:r>
            <w:r w:rsidR="00B14775">
              <w:rPr>
                <w:sz w:val="18"/>
                <w:szCs w:val="18"/>
              </w:rPr>
              <w:t>4</w:t>
            </w:r>
            <w:r w:rsidR="0007670F" w:rsidRPr="00B61114">
              <w:rPr>
                <w:sz w:val="18"/>
                <w:szCs w:val="18"/>
                <w:vertAlign w:val="superscript"/>
              </w:rPr>
              <w:t>p/</w:t>
            </w:r>
          </w:p>
        </w:tc>
        <w:tc>
          <w:tcPr>
            <w:tcW w:w="625" w:type="pct"/>
            <w:vMerge/>
            <w:tcBorders>
              <w:bottom w:val="single" w:sz="4" w:space="0" w:color="404040" w:themeColor="text1" w:themeTint="BF"/>
            </w:tcBorders>
            <w:vAlign w:val="center"/>
          </w:tcPr>
          <w:p w14:paraId="4B8DE669" w14:textId="77777777" w:rsidR="0007670F" w:rsidRPr="00B61114" w:rsidRDefault="0007670F" w:rsidP="00AF3DBB">
            <w:pPr>
              <w:spacing w:line="240" w:lineRule="atLeast"/>
              <w:ind w:left="-64" w:right="-45"/>
              <w:jc w:val="center"/>
              <w:rPr>
                <w:sz w:val="18"/>
                <w:szCs w:val="18"/>
              </w:rPr>
            </w:pPr>
          </w:p>
        </w:tc>
      </w:tr>
      <w:tr w:rsidR="006E4772" w:rsidRPr="00B61114" w14:paraId="0D2B584E" w14:textId="77777777" w:rsidTr="005B4197">
        <w:trPr>
          <w:cantSplit/>
          <w:trHeight w:val="20"/>
          <w:jc w:val="center"/>
        </w:trPr>
        <w:tc>
          <w:tcPr>
            <w:tcW w:w="3365" w:type="pct"/>
            <w:tcBorders>
              <w:bottom w:val="nil"/>
            </w:tcBorders>
            <w:vAlign w:val="center"/>
          </w:tcPr>
          <w:p w14:paraId="622C693E" w14:textId="77777777" w:rsidR="006E4772" w:rsidRPr="00B61114" w:rsidRDefault="006E4772" w:rsidP="006E4772">
            <w:pPr>
              <w:tabs>
                <w:tab w:val="left" w:pos="339"/>
              </w:tabs>
              <w:spacing w:before="20" w:after="20" w:line="240" w:lineRule="exact"/>
              <w:ind w:left="323" w:hanging="306"/>
              <w:rPr>
                <w:b/>
                <w:sz w:val="18"/>
                <w:szCs w:val="18"/>
              </w:rPr>
            </w:pPr>
            <w:r w:rsidRPr="00B61114">
              <w:rPr>
                <w:b/>
                <w:sz w:val="18"/>
                <w:szCs w:val="18"/>
              </w:rPr>
              <w:t>Indicador de Pedidos Manufactureros</w:t>
            </w:r>
          </w:p>
        </w:tc>
        <w:tc>
          <w:tcPr>
            <w:tcW w:w="505" w:type="pct"/>
            <w:tcBorders>
              <w:bottom w:val="nil"/>
              <w:right w:val="nil"/>
            </w:tcBorders>
            <w:vAlign w:val="center"/>
          </w:tcPr>
          <w:p w14:paraId="5CCE5D38" w14:textId="7FC3B1FE" w:rsidR="006E4772" w:rsidRPr="006E4772" w:rsidRDefault="006E4772" w:rsidP="006E4772">
            <w:pPr>
              <w:tabs>
                <w:tab w:val="decimal" w:pos="475"/>
              </w:tabs>
              <w:jc w:val="left"/>
              <w:rPr>
                <w:b/>
                <w:bCs/>
                <w:sz w:val="18"/>
                <w:szCs w:val="18"/>
              </w:rPr>
            </w:pPr>
            <w:r w:rsidRPr="006E4772">
              <w:rPr>
                <w:b/>
                <w:bCs/>
                <w:sz w:val="18"/>
                <w:szCs w:val="18"/>
              </w:rPr>
              <w:t>51.7</w:t>
            </w:r>
          </w:p>
        </w:tc>
        <w:tc>
          <w:tcPr>
            <w:tcW w:w="505" w:type="pct"/>
            <w:tcBorders>
              <w:left w:val="nil"/>
              <w:bottom w:val="nil"/>
            </w:tcBorders>
            <w:vAlign w:val="center"/>
          </w:tcPr>
          <w:p w14:paraId="73DB042F" w14:textId="6A73023C" w:rsidR="006E4772" w:rsidRPr="006E4772" w:rsidRDefault="006E4772" w:rsidP="006E4772">
            <w:pPr>
              <w:tabs>
                <w:tab w:val="decimal" w:pos="465"/>
              </w:tabs>
              <w:jc w:val="left"/>
              <w:rPr>
                <w:b/>
                <w:bCs/>
                <w:sz w:val="18"/>
                <w:szCs w:val="18"/>
              </w:rPr>
            </w:pPr>
            <w:r w:rsidRPr="006E4772">
              <w:rPr>
                <w:b/>
                <w:bCs/>
                <w:sz w:val="18"/>
                <w:szCs w:val="18"/>
              </w:rPr>
              <w:t>53.5</w:t>
            </w:r>
          </w:p>
        </w:tc>
        <w:tc>
          <w:tcPr>
            <w:tcW w:w="625" w:type="pct"/>
            <w:tcBorders>
              <w:bottom w:val="nil"/>
            </w:tcBorders>
            <w:vAlign w:val="center"/>
          </w:tcPr>
          <w:p w14:paraId="343C6CEC" w14:textId="2E37642F" w:rsidR="006E4772" w:rsidRPr="006E4772" w:rsidRDefault="006E4772" w:rsidP="006E4772">
            <w:pPr>
              <w:tabs>
                <w:tab w:val="decimal" w:pos="541"/>
              </w:tabs>
              <w:jc w:val="left"/>
              <w:rPr>
                <w:b/>
                <w:bCs/>
                <w:sz w:val="18"/>
                <w:szCs w:val="18"/>
              </w:rPr>
            </w:pPr>
            <w:r w:rsidRPr="006E4772">
              <w:rPr>
                <w:b/>
                <w:bCs/>
                <w:sz w:val="18"/>
                <w:szCs w:val="18"/>
              </w:rPr>
              <w:t>1.8</w:t>
            </w:r>
          </w:p>
        </w:tc>
      </w:tr>
      <w:tr w:rsidR="006E4772" w:rsidRPr="00B61114" w14:paraId="66F8C639" w14:textId="77777777" w:rsidTr="005B4197">
        <w:trPr>
          <w:cantSplit/>
          <w:trHeight w:val="20"/>
          <w:jc w:val="center"/>
        </w:trPr>
        <w:tc>
          <w:tcPr>
            <w:tcW w:w="3365" w:type="pct"/>
            <w:tcBorders>
              <w:top w:val="nil"/>
              <w:bottom w:val="nil"/>
            </w:tcBorders>
            <w:vAlign w:val="bottom"/>
          </w:tcPr>
          <w:p w14:paraId="52E74F26" w14:textId="77777777" w:rsidR="006E4772" w:rsidRPr="00B61114" w:rsidRDefault="006E4772" w:rsidP="006E4772">
            <w:pPr>
              <w:widowControl w:val="0"/>
              <w:spacing w:before="20" w:after="20"/>
              <w:ind w:left="130"/>
              <w:rPr>
                <w:sz w:val="18"/>
                <w:szCs w:val="18"/>
              </w:rPr>
            </w:pPr>
            <w:r w:rsidRPr="00B61114">
              <w:rPr>
                <w:sz w:val="18"/>
                <w:szCs w:val="18"/>
              </w:rPr>
              <w:t>Alimentos, bebidas y tabaco</w:t>
            </w:r>
          </w:p>
        </w:tc>
        <w:tc>
          <w:tcPr>
            <w:tcW w:w="505" w:type="pct"/>
            <w:tcBorders>
              <w:top w:val="nil"/>
              <w:bottom w:val="nil"/>
              <w:right w:val="nil"/>
            </w:tcBorders>
            <w:vAlign w:val="center"/>
          </w:tcPr>
          <w:p w14:paraId="0ED44218" w14:textId="2FA19A09" w:rsidR="006E4772" w:rsidRPr="006E4772" w:rsidRDefault="006E4772" w:rsidP="006E4772">
            <w:pPr>
              <w:tabs>
                <w:tab w:val="decimal" w:pos="475"/>
              </w:tabs>
              <w:jc w:val="left"/>
              <w:rPr>
                <w:sz w:val="18"/>
                <w:szCs w:val="18"/>
              </w:rPr>
            </w:pPr>
            <w:r w:rsidRPr="006E4772">
              <w:rPr>
                <w:sz w:val="18"/>
                <w:szCs w:val="18"/>
              </w:rPr>
              <w:t>51.1</w:t>
            </w:r>
          </w:p>
        </w:tc>
        <w:tc>
          <w:tcPr>
            <w:tcW w:w="505" w:type="pct"/>
            <w:tcBorders>
              <w:top w:val="nil"/>
              <w:left w:val="nil"/>
              <w:bottom w:val="nil"/>
            </w:tcBorders>
            <w:vAlign w:val="center"/>
          </w:tcPr>
          <w:p w14:paraId="7FF84BA9" w14:textId="2237B930" w:rsidR="006E4772" w:rsidRPr="006E4772" w:rsidRDefault="006E4772" w:rsidP="006E4772">
            <w:pPr>
              <w:tabs>
                <w:tab w:val="decimal" w:pos="465"/>
              </w:tabs>
              <w:jc w:val="left"/>
              <w:rPr>
                <w:sz w:val="18"/>
                <w:szCs w:val="18"/>
              </w:rPr>
            </w:pPr>
            <w:r w:rsidRPr="006E4772">
              <w:rPr>
                <w:sz w:val="18"/>
                <w:szCs w:val="18"/>
              </w:rPr>
              <w:t>51.9</w:t>
            </w:r>
          </w:p>
        </w:tc>
        <w:tc>
          <w:tcPr>
            <w:tcW w:w="625" w:type="pct"/>
            <w:tcBorders>
              <w:top w:val="nil"/>
              <w:bottom w:val="nil"/>
            </w:tcBorders>
            <w:vAlign w:val="center"/>
          </w:tcPr>
          <w:p w14:paraId="737B9464" w14:textId="6E96CC2B" w:rsidR="006E4772" w:rsidRPr="006E4772" w:rsidRDefault="006E4772" w:rsidP="006E4772">
            <w:pPr>
              <w:tabs>
                <w:tab w:val="decimal" w:pos="541"/>
              </w:tabs>
              <w:jc w:val="left"/>
              <w:rPr>
                <w:sz w:val="18"/>
                <w:szCs w:val="18"/>
              </w:rPr>
            </w:pPr>
            <w:r w:rsidRPr="006E4772">
              <w:rPr>
                <w:sz w:val="18"/>
                <w:szCs w:val="18"/>
              </w:rPr>
              <w:t>0.8</w:t>
            </w:r>
          </w:p>
        </w:tc>
      </w:tr>
      <w:tr w:rsidR="006E4772" w:rsidRPr="00B61114" w14:paraId="25039AF4" w14:textId="77777777" w:rsidTr="005B4197">
        <w:trPr>
          <w:cantSplit/>
          <w:trHeight w:val="20"/>
          <w:jc w:val="center"/>
        </w:trPr>
        <w:tc>
          <w:tcPr>
            <w:tcW w:w="3365" w:type="pct"/>
            <w:tcBorders>
              <w:top w:val="nil"/>
              <w:bottom w:val="nil"/>
            </w:tcBorders>
            <w:vAlign w:val="bottom"/>
          </w:tcPr>
          <w:p w14:paraId="70D96952" w14:textId="77777777" w:rsidR="006E4772" w:rsidRPr="00B61114" w:rsidRDefault="006E4772" w:rsidP="006E4772">
            <w:pPr>
              <w:widowControl w:val="0"/>
              <w:spacing w:before="20" w:after="20"/>
              <w:ind w:left="133" w:right="-87"/>
              <w:rPr>
                <w:sz w:val="18"/>
                <w:szCs w:val="18"/>
              </w:rPr>
            </w:pPr>
            <w:r w:rsidRPr="00B61114">
              <w:rPr>
                <w:sz w:val="18"/>
                <w:szCs w:val="18"/>
              </w:rPr>
              <w:t>Derivados del petróleo y del carbón, industria química, del plástico y del hule</w:t>
            </w:r>
          </w:p>
        </w:tc>
        <w:tc>
          <w:tcPr>
            <w:tcW w:w="505" w:type="pct"/>
            <w:tcBorders>
              <w:top w:val="nil"/>
              <w:bottom w:val="nil"/>
              <w:right w:val="nil"/>
            </w:tcBorders>
            <w:vAlign w:val="center"/>
          </w:tcPr>
          <w:p w14:paraId="5FAA6F37" w14:textId="2DBA6F5E" w:rsidR="006E4772" w:rsidRPr="006E4772" w:rsidRDefault="006E4772" w:rsidP="006E4772">
            <w:pPr>
              <w:tabs>
                <w:tab w:val="decimal" w:pos="475"/>
              </w:tabs>
              <w:jc w:val="left"/>
              <w:rPr>
                <w:sz w:val="18"/>
                <w:szCs w:val="18"/>
              </w:rPr>
            </w:pPr>
            <w:r w:rsidRPr="006E4772">
              <w:rPr>
                <w:sz w:val="18"/>
                <w:szCs w:val="18"/>
              </w:rPr>
              <w:t>51.3</w:t>
            </w:r>
          </w:p>
        </w:tc>
        <w:tc>
          <w:tcPr>
            <w:tcW w:w="505" w:type="pct"/>
            <w:tcBorders>
              <w:top w:val="nil"/>
              <w:left w:val="nil"/>
              <w:bottom w:val="nil"/>
            </w:tcBorders>
            <w:vAlign w:val="center"/>
          </w:tcPr>
          <w:p w14:paraId="287977B5" w14:textId="4EC9E117" w:rsidR="006E4772" w:rsidRPr="006E4772" w:rsidRDefault="006E4772" w:rsidP="006E4772">
            <w:pPr>
              <w:tabs>
                <w:tab w:val="decimal" w:pos="465"/>
              </w:tabs>
              <w:jc w:val="left"/>
              <w:rPr>
                <w:sz w:val="18"/>
                <w:szCs w:val="18"/>
              </w:rPr>
            </w:pPr>
            <w:r w:rsidRPr="006E4772">
              <w:rPr>
                <w:sz w:val="18"/>
                <w:szCs w:val="18"/>
              </w:rPr>
              <w:t>56.3</w:t>
            </w:r>
          </w:p>
        </w:tc>
        <w:tc>
          <w:tcPr>
            <w:tcW w:w="625" w:type="pct"/>
            <w:tcBorders>
              <w:top w:val="nil"/>
              <w:bottom w:val="nil"/>
            </w:tcBorders>
            <w:vAlign w:val="center"/>
          </w:tcPr>
          <w:p w14:paraId="56F235B7" w14:textId="250E507F" w:rsidR="006E4772" w:rsidRPr="006E4772" w:rsidRDefault="006E4772" w:rsidP="006E4772">
            <w:pPr>
              <w:tabs>
                <w:tab w:val="decimal" w:pos="541"/>
              </w:tabs>
              <w:jc w:val="left"/>
              <w:rPr>
                <w:sz w:val="18"/>
                <w:szCs w:val="18"/>
              </w:rPr>
            </w:pPr>
            <w:r w:rsidRPr="006E4772">
              <w:rPr>
                <w:sz w:val="18"/>
                <w:szCs w:val="18"/>
              </w:rPr>
              <w:t>5.1</w:t>
            </w:r>
          </w:p>
        </w:tc>
      </w:tr>
      <w:tr w:rsidR="006E4772" w:rsidRPr="00B61114" w14:paraId="1D6AAD26" w14:textId="77777777" w:rsidTr="005B4197">
        <w:trPr>
          <w:cantSplit/>
          <w:trHeight w:val="20"/>
          <w:jc w:val="center"/>
        </w:trPr>
        <w:tc>
          <w:tcPr>
            <w:tcW w:w="3365" w:type="pct"/>
            <w:tcBorders>
              <w:top w:val="nil"/>
              <w:bottom w:val="nil"/>
            </w:tcBorders>
            <w:vAlign w:val="bottom"/>
          </w:tcPr>
          <w:p w14:paraId="165C4495" w14:textId="77777777" w:rsidR="006E4772" w:rsidRPr="00B61114" w:rsidRDefault="006E4772" w:rsidP="006E4772">
            <w:pPr>
              <w:widowControl w:val="0"/>
              <w:spacing w:before="20" w:after="20"/>
              <w:ind w:left="133"/>
              <w:rPr>
                <w:sz w:val="18"/>
                <w:szCs w:val="18"/>
              </w:rPr>
            </w:pPr>
            <w:bookmarkStart w:id="7" w:name="_Hlk99632748"/>
            <w:r w:rsidRPr="00B61114">
              <w:rPr>
                <w:sz w:val="18"/>
                <w:szCs w:val="18"/>
              </w:rPr>
              <w:t>Minerales no metálicos y metálicas básicas</w:t>
            </w:r>
            <w:bookmarkEnd w:id="7"/>
          </w:p>
        </w:tc>
        <w:tc>
          <w:tcPr>
            <w:tcW w:w="505" w:type="pct"/>
            <w:tcBorders>
              <w:top w:val="nil"/>
              <w:bottom w:val="nil"/>
              <w:right w:val="nil"/>
            </w:tcBorders>
            <w:vAlign w:val="center"/>
          </w:tcPr>
          <w:p w14:paraId="6CBFB59C" w14:textId="0957828F" w:rsidR="006E4772" w:rsidRPr="006E4772" w:rsidRDefault="006E4772" w:rsidP="006E4772">
            <w:pPr>
              <w:tabs>
                <w:tab w:val="decimal" w:pos="475"/>
              </w:tabs>
              <w:jc w:val="left"/>
              <w:rPr>
                <w:sz w:val="18"/>
                <w:szCs w:val="18"/>
              </w:rPr>
            </w:pPr>
            <w:r w:rsidRPr="006E4772">
              <w:rPr>
                <w:sz w:val="18"/>
                <w:szCs w:val="18"/>
              </w:rPr>
              <w:t>47.9</w:t>
            </w:r>
          </w:p>
        </w:tc>
        <w:tc>
          <w:tcPr>
            <w:tcW w:w="505" w:type="pct"/>
            <w:tcBorders>
              <w:top w:val="nil"/>
              <w:left w:val="nil"/>
              <w:bottom w:val="nil"/>
            </w:tcBorders>
            <w:vAlign w:val="center"/>
          </w:tcPr>
          <w:p w14:paraId="11A70554" w14:textId="7529A100" w:rsidR="006E4772" w:rsidRPr="006E4772" w:rsidRDefault="006E4772" w:rsidP="006E4772">
            <w:pPr>
              <w:tabs>
                <w:tab w:val="decimal" w:pos="465"/>
              </w:tabs>
              <w:jc w:val="left"/>
              <w:rPr>
                <w:sz w:val="18"/>
                <w:szCs w:val="18"/>
              </w:rPr>
            </w:pPr>
            <w:r w:rsidRPr="006E4772">
              <w:rPr>
                <w:sz w:val="18"/>
                <w:szCs w:val="18"/>
              </w:rPr>
              <w:t>50.6</w:t>
            </w:r>
          </w:p>
        </w:tc>
        <w:tc>
          <w:tcPr>
            <w:tcW w:w="625" w:type="pct"/>
            <w:tcBorders>
              <w:top w:val="nil"/>
              <w:bottom w:val="nil"/>
            </w:tcBorders>
            <w:vAlign w:val="center"/>
          </w:tcPr>
          <w:p w14:paraId="4F843178" w14:textId="34D00BD9" w:rsidR="006E4772" w:rsidRPr="006E4772" w:rsidRDefault="006E4772" w:rsidP="006E4772">
            <w:pPr>
              <w:tabs>
                <w:tab w:val="decimal" w:pos="541"/>
              </w:tabs>
              <w:jc w:val="left"/>
              <w:rPr>
                <w:sz w:val="18"/>
                <w:szCs w:val="18"/>
              </w:rPr>
            </w:pPr>
            <w:r w:rsidRPr="006E4772">
              <w:rPr>
                <w:sz w:val="18"/>
                <w:szCs w:val="18"/>
              </w:rPr>
              <w:t>2.7</w:t>
            </w:r>
          </w:p>
        </w:tc>
      </w:tr>
      <w:tr w:rsidR="006E4772" w:rsidRPr="00B61114" w14:paraId="6FEF3963" w14:textId="77777777" w:rsidTr="005B4197">
        <w:trPr>
          <w:cantSplit/>
          <w:trHeight w:val="20"/>
          <w:jc w:val="center"/>
        </w:trPr>
        <w:tc>
          <w:tcPr>
            <w:tcW w:w="3365" w:type="pct"/>
            <w:tcBorders>
              <w:top w:val="nil"/>
              <w:bottom w:val="nil"/>
            </w:tcBorders>
            <w:vAlign w:val="bottom"/>
          </w:tcPr>
          <w:p w14:paraId="20815B81" w14:textId="77777777" w:rsidR="006E4772" w:rsidRPr="00B61114" w:rsidRDefault="006E4772" w:rsidP="006E4772">
            <w:pPr>
              <w:widowControl w:val="0"/>
              <w:spacing w:before="20" w:after="20"/>
              <w:ind w:left="133"/>
              <w:rPr>
                <w:sz w:val="18"/>
                <w:szCs w:val="18"/>
              </w:rPr>
            </w:pPr>
            <w:r w:rsidRPr="00B61114">
              <w:rPr>
                <w:sz w:val="18"/>
                <w:szCs w:val="18"/>
              </w:rPr>
              <w:t>Equipo de computación, accesorios electrónicos y aparatos eléctricos</w:t>
            </w:r>
          </w:p>
        </w:tc>
        <w:tc>
          <w:tcPr>
            <w:tcW w:w="505" w:type="pct"/>
            <w:tcBorders>
              <w:top w:val="nil"/>
              <w:bottom w:val="nil"/>
              <w:right w:val="nil"/>
            </w:tcBorders>
            <w:vAlign w:val="center"/>
          </w:tcPr>
          <w:p w14:paraId="1DA02F65" w14:textId="772DADC5" w:rsidR="006E4772" w:rsidRPr="006E4772" w:rsidRDefault="006E4772" w:rsidP="006E4772">
            <w:pPr>
              <w:tabs>
                <w:tab w:val="decimal" w:pos="475"/>
              </w:tabs>
              <w:jc w:val="left"/>
              <w:rPr>
                <w:sz w:val="18"/>
                <w:szCs w:val="18"/>
              </w:rPr>
            </w:pPr>
            <w:r w:rsidRPr="006E4772">
              <w:rPr>
                <w:sz w:val="18"/>
                <w:szCs w:val="18"/>
              </w:rPr>
              <w:t>51.7</w:t>
            </w:r>
          </w:p>
        </w:tc>
        <w:tc>
          <w:tcPr>
            <w:tcW w:w="505" w:type="pct"/>
            <w:tcBorders>
              <w:top w:val="nil"/>
              <w:left w:val="nil"/>
              <w:bottom w:val="nil"/>
            </w:tcBorders>
            <w:vAlign w:val="center"/>
          </w:tcPr>
          <w:p w14:paraId="2546ECC4" w14:textId="28385A02" w:rsidR="006E4772" w:rsidRPr="006E4772" w:rsidRDefault="006E4772" w:rsidP="006E4772">
            <w:pPr>
              <w:tabs>
                <w:tab w:val="decimal" w:pos="465"/>
              </w:tabs>
              <w:jc w:val="left"/>
              <w:rPr>
                <w:sz w:val="18"/>
                <w:szCs w:val="18"/>
              </w:rPr>
            </w:pPr>
            <w:r w:rsidRPr="006E4772">
              <w:rPr>
                <w:sz w:val="18"/>
                <w:szCs w:val="18"/>
              </w:rPr>
              <w:t>51.5</w:t>
            </w:r>
          </w:p>
        </w:tc>
        <w:tc>
          <w:tcPr>
            <w:tcW w:w="625" w:type="pct"/>
            <w:tcBorders>
              <w:top w:val="nil"/>
              <w:bottom w:val="nil"/>
            </w:tcBorders>
            <w:vAlign w:val="center"/>
          </w:tcPr>
          <w:p w14:paraId="2CF5E216" w14:textId="333BD285" w:rsidR="006E4772" w:rsidRPr="006E4772" w:rsidRDefault="006E4772" w:rsidP="006E4772">
            <w:pPr>
              <w:tabs>
                <w:tab w:val="decimal" w:pos="541"/>
              </w:tabs>
              <w:jc w:val="left"/>
              <w:rPr>
                <w:sz w:val="18"/>
                <w:szCs w:val="18"/>
              </w:rPr>
            </w:pPr>
            <w:r w:rsidRPr="006E4772">
              <w:rPr>
                <w:sz w:val="18"/>
                <w:szCs w:val="18"/>
              </w:rPr>
              <w:t>-0.2</w:t>
            </w:r>
          </w:p>
        </w:tc>
      </w:tr>
      <w:tr w:rsidR="006E4772" w:rsidRPr="00B61114" w14:paraId="5625FF51" w14:textId="77777777" w:rsidTr="005B4197">
        <w:trPr>
          <w:cantSplit/>
          <w:trHeight w:val="20"/>
          <w:jc w:val="center"/>
        </w:trPr>
        <w:tc>
          <w:tcPr>
            <w:tcW w:w="3365" w:type="pct"/>
            <w:tcBorders>
              <w:top w:val="nil"/>
              <w:bottom w:val="nil"/>
            </w:tcBorders>
            <w:vAlign w:val="bottom"/>
          </w:tcPr>
          <w:p w14:paraId="47796B2C" w14:textId="77777777" w:rsidR="006E4772" w:rsidRPr="00B61114" w:rsidRDefault="006E4772" w:rsidP="006E4772">
            <w:pPr>
              <w:widowControl w:val="0"/>
              <w:spacing w:before="20" w:after="20"/>
              <w:ind w:left="133"/>
              <w:rPr>
                <w:sz w:val="18"/>
                <w:szCs w:val="18"/>
              </w:rPr>
            </w:pPr>
            <w:r w:rsidRPr="00B61114">
              <w:rPr>
                <w:sz w:val="18"/>
                <w:szCs w:val="18"/>
              </w:rPr>
              <w:t>Equipo de transporte</w:t>
            </w:r>
          </w:p>
        </w:tc>
        <w:tc>
          <w:tcPr>
            <w:tcW w:w="505" w:type="pct"/>
            <w:tcBorders>
              <w:top w:val="nil"/>
              <w:bottom w:val="nil"/>
              <w:right w:val="nil"/>
            </w:tcBorders>
            <w:vAlign w:val="center"/>
          </w:tcPr>
          <w:p w14:paraId="18115985" w14:textId="61DEE60B" w:rsidR="006E4772" w:rsidRPr="006E4772" w:rsidRDefault="006E4772" w:rsidP="006E4772">
            <w:pPr>
              <w:tabs>
                <w:tab w:val="decimal" w:pos="475"/>
              </w:tabs>
              <w:jc w:val="left"/>
              <w:rPr>
                <w:sz w:val="18"/>
                <w:szCs w:val="18"/>
              </w:rPr>
            </w:pPr>
            <w:r w:rsidRPr="006E4772">
              <w:rPr>
                <w:sz w:val="18"/>
                <w:szCs w:val="18"/>
              </w:rPr>
              <w:t>53.5</w:t>
            </w:r>
          </w:p>
        </w:tc>
        <w:tc>
          <w:tcPr>
            <w:tcW w:w="505" w:type="pct"/>
            <w:tcBorders>
              <w:top w:val="nil"/>
              <w:left w:val="nil"/>
              <w:bottom w:val="nil"/>
            </w:tcBorders>
            <w:vAlign w:val="center"/>
          </w:tcPr>
          <w:p w14:paraId="6CA3F152" w14:textId="1A6EA1A5" w:rsidR="006E4772" w:rsidRPr="006E4772" w:rsidRDefault="006E4772" w:rsidP="006E4772">
            <w:pPr>
              <w:tabs>
                <w:tab w:val="decimal" w:pos="465"/>
              </w:tabs>
              <w:jc w:val="left"/>
              <w:rPr>
                <w:sz w:val="18"/>
                <w:szCs w:val="18"/>
              </w:rPr>
            </w:pPr>
            <w:r w:rsidRPr="006E4772">
              <w:rPr>
                <w:sz w:val="18"/>
                <w:szCs w:val="18"/>
              </w:rPr>
              <w:t>54.3</w:t>
            </w:r>
          </w:p>
        </w:tc>
        <w:tc>
          <w:tcPr>
            <w:tcW w:w="625" w:type="pct"/>
            <w:tcBorders>
              <w:top w:val="nil"/>
              <w:bottom w:val="nil"/>
            </w:tcBorders>
            <w:vAlign w:val="center"/>
          </w:tcPr>
          <w:p w14:paraId="686DC4DB" w14:textId="16EF8AC1" w:rsidR="006E4772" w:rsidRPr="006E4772" w:rsidRDefault="006E4772" w:rsidP="006E4772">
            <w:pPr>
              <w:tabs>
                <w:tab w:val="decimal" w:pos="541"/>
              </w:tabs>
              <w:jc w:val="left"/>
              <w:rPr>
                <w:sz w:val="18"/>
                <w:szCs w:val="18"/>
              </w:rPr>
            </w:pPr>
            <w:r w:rsidRPr="006E4772">
              <w:rPr>
                <w:sz w:val="18"/>
                <w:szCs w:val="18"/>
              </w:rPr>
              <w:t>0.8</w:t>
            </w:r>
          </w:p>
        </w:tc>
      </w:tr>
      <w:tr w:rsidR="006E4772" w:rsidRPr="00B61114" w14:paraId="25FA0495" w14:textId="77777777" w:rsidTr="005B4197">
        <w:trPr>
          <w:cantSplit/>
          <w:trHeight w:val="20"/>
          <w:jc w:val="center"/>
        </w:trPr>
        <w:tc>
          <w:tcPr>
            <w:tcW w:w="3365" w:type="pct"/>
            <w:tcBorders>
              <w:top w:val="nil"/>
              <w:bottom w:val="nil"/>
            </w:tcBorders>
            <w:vAlign w:val="bottom"/>
          </w:tcPr>
          <w:p w14:paraId="0AC0A6A3" w14:textId="77777777" w:rsidR="006E4772" w:rsidRPr="00B61114" w:rsidRDefault="006E4772" w:rsidP="006E4772">
            <w:pPr>
              <w:widowControl w:val="0"/>
              <w:spacing w:before="20" w:after="20"/>
              <w:ind w:left="133"/>
              <w:rPr>
                <w:sz w:val="18"/>
                <w:szCs w:val="18"/>
              </w:rPr>
            </w:pPr>
            <w:r w:rsidRPr="00B61114">
              <w:rPr>
                <w:sz w:val="18"/>
                <w:szCs w:val="18"/>
              </w:rPr>
              <w:t>Productos metálicos, maquinaria, equipo y muebles</w:t>
            </w:r>
          </w:p>
        </w:tc>
        <w:tc>
          <w:tcPr>
            <w:tcW w:w="505" w:type="pct"/>
            <w:tcBorders>
              <w:top w:val="nil"/>
              <w:bottom w:val="nil"/>
              <w:right w:val="nil"/>
            </w:tcBorders>
            <w:vAlign w:val="center"/>
          </w:tcPr>
          <w:p w14:paraId="1BC57763" w14:textId="7B7205C0" w:rsidR="006E4772" w:rsidRPr="006E4772" w:rsidRDefault="006E4772" w:rsidP="006E4772">
            <w:pPr>
              <w:tabs>
                <w:tab w:val="decimal" w:pos="475"/>
              </w:tabs>
              <w:jc w:val="left"/>
              <w:rPr>
                <w:sz w:val="18"/>
                <w:szCs w:val="18"/>
              </w:rPr>
            </w:pPr>
            <w:r w:rsidRPr="006E4772">
              <w:rPr>
                <w:sz w:val="18"/>
                <w:szCs w:val="18"/>
              </w:rPr>
              <w:t>51.3</w:t>
            </w:r>
          </w:p>
        </w:tc>
        <w:tc>
          <w:tcPr>
            <w:tcW w:w="505" w:type="pct"/>
            <w:tcBorders>
              <w:top w:val="nil"/>
              <w:left w:val="nil"/>
              <w:bottom w:val="nil"/>
            </w:tcBorders>
            <w:vAlign w:val="center"/>
          </w:tcPr>
          <w:p w14:paraId="0181BEFA" w14:textId="03820CFE" w:rsidR="006E4772" w:rsidRPr="006E4772" w:rsidRDefault="006E4772" w:rsidP="006E4772">
            <w:pPr>
              <w:tabs>
                <w:tab w:val="decimal" w:pos="465"/>
              </w:tabs>
              <w:jc w:val="left"/>
              <w:rPr>
                <w:sz w:val="18"/>
                <w:szCs w:val="18"/>
              </w:rPr>
            </w:pPr>
            <w:r w:rsidRPr="006E4772">
              <w:rPr>
                <w:sz w:val="18"/>
                <w:szCs w:val="18"/>
              </w:rPr>
              <w:t>50.8</w:t>
            </w:r>
          </w:p>
        </w:tc>
        <w:tc>
          <w:tcPr>
            <w:tcW w:w="625" w:type="pct"/>
            <w:tcBorders>
              <w:top w:val="nil"/>
              <w:bottom w:val="nil"/>
            </w:tcBorders>
            <w:vAlign w:val="center"/>
          </w:tcPr>
          <w:p w14:paraId="69881E29" w14:textId="3DD736AC" w:rsidR="006E4772" w:rsidRPr="006E4772" w:rsidRDefault="006E4772" w:rsidP="006E4772">
            <w:pPr>
              <w:tabs>
                <w:tab w:val="decimal" w:pos="541"/>
              </w:tabs>
              <w:jc w:val="left"/>
              <w:rPr>
                <w:sz w:val="18"/>
                <w:szCs w:val="18"/>
              </w:rPr>
            </w:pPr>
            <w:r w:rsidRPr="006E4772">
              <w:rPr>
                <w:sz w:val="18"/>
                <w:szCs w:val="18"/>
              </w:rPr>
              <w:t>-0.5</w:t>
            </w:r>
          </w:p>
        </w:tc>
      </w:tr>
      <w:tr w:rsidR="006E4772" w:rsidRPr="00B61114" w14:paraId="655C91BE" w14:textId="77777777" w:rsidTr="005B4197">
        <w:trPr>
          <w:cantSplit/>
          <w:trHeight w:val="20"/>
          <w:jc w:val="center"/>
        </w:trPr>
        <w:tc>
          <w:tcPr>
            <w:tcW w:w="3365" w:type="pct"/>
            <w:tcBorders>
              <w:top w:val="nil"/>
            </w:tcBorders>
            <w:vAlign w:val="bottom"/>
          </w:tcPr>
          <w:p w14:paraId="038E8679" w14:textId="21E45110" w:rsidR="006E4772" w:rsidRPr="00B61114" w:rsidRDefault="006E4772" w:rsidP="006E4772">
            <w:pPr>
              <w:widowControl w:val="0"/>
              <w:spacing w:before="20" w:after="20"/>
              <w:ind w:left="133"/>
              <w:rPr>
                <w:sz w:val="18"/>
                <w:szCs w:val="18"/>
              </w:rPr>
            </w:pPr>
            <w:r w:rsidRPr="00B61114">
              <w:rPr>
                <w:sz w:val="18"/>
                <w:szCs w:val="18"/>
              </w:rPr>
              <w:t>Textiles, prendas de vestir, cuero y piel, madera, papel y otras industrias</w:t>
            </w:r>
          </w:p>
        </w:tc>
        <w:tc>
          <w:tcPr>
            <w:tcW w:w="505" w:type="pct"/>
            <w:tcBorders>
              <w:top w:val="nil"/>
              <w:right w:val="nil"/>
            </w:tcBorders>
            <w:vAlign w:val="center"/>
          </w:tcPr>
          <w:p w14:paraId="0DC9883B" w14:textId="6DFDF03A" w:rsidR="006E4772" w:rsidRPr="006E4772" w:rsidRDefault="006E4772" w:rsidP="006E4772">
            <w:pPr>
              <w:tabs>
                <w:tab w:val="decimal" w:pos="475"/>
              </w:tabs>
              <w:jc w:val="left"/>
              <w:rPr>
                <w:sz w:val="18"/>
                <w:szCs w:val="18"/>
              </w:rPr>
            </w:pPr>
            <w:r w:rsidRPr="006E4772">
              <w:rPr>
                <w:sz w:val="18"/>
                <w:szCs w:val="18"/>
              </w:rPr>
              <w:t>51.8</w:t>
            </w:r>
          </w:p>
        </w:tc>
        <w:tc>
          <w:tcPr>
            <w:tcW w:w="505" w:type="pct"/>
            <w:tcBorders>
              <w:top w:val="nil"/>
              <w:left w:val="nil"/>
            </w:tcBorders>
            <w:vAlign w:val="center"/>
          </w:tcPr>
          <w:p w14:paraId="077C02B9" w14:textId="10A4EE0B" w:rsidR="006E4772" w:rsidRPr="006E4772" w:rsidRDefault="006E4772" w:rsidP="006E4772">
            <w:pPr>
              <w:tabs>
                <w:tab w:val="decimal" w:pos="465"/>
              </w:tabs>
              <w:jc w:val="left"/>
              <w:rPr>
                <w:sz w:val="18"/>
                <w:szCs w:val="18"/>
              </w:rPr>
            </w:pPr>
            <w:r w:rsidRPr="006E4772">
              <w:rPr>
                <w:sz w:val="18"/>
                <w:szCs w:val="18"/>
              </w:rPr>
              <w:t>51.1</w:t>
            </w:r>
          </w:p>
        </w:tc>
        <w:tc>
          <w:tcPr>
            <w:tcW w:w="625" w:type="pct"/>
            <w:tcBorders>
              <w:top w:val="nil"/>
            </w:tcBorders>
            <w:vAlign w:val="center"/>
          </w:tcPr>
          <w:p w14:paraId="3B812B07" w14:textId="7B329EEC" w:rsidR="006E4772" w:rsidRPr="006E4772" w:rsidRDefault="006E4772" w:rsidP="006E4772">
            <w:pPr>
              <w:tabs>
                <w:tab w:val="decimal" w:pos="541"/>
              </w:tabs>
              <w:jc w:val="left"/>
              <w:rPr>
                <w:sz w:val="18"/>
                <w:szCs w:val="18"/>
              </w:rPr>
            </w:pPr>
            <w:r w:rsidRPr="006E4772">
              <w:rPr>
                <w:sz w:val="18"/>
                <w:szCs w:val="18"/>
              </w:rPr>
              <w:t>-0.7</w:t>
            </w:r>
          </w:p>
        </w:tc>
      </w:tr>
    </w:tbl>
    <w:p w14:paraId="2B501CF0" w14:textId="77777777" w:rsidR="0007670F" w:rsidRPr="00B61114" w:rsidRDefault="0007670F" w:rsidP="005B4197">
      <w:pPr>
        <w:widowControl w:val="0"/>
        <w:spacing w:before="20"/>
        <w:ind w:left="700" w:right="713" w:hanging="602"/>
        <w:outlineLvl w:val="0"/>
        <w:rPr>
          <w:sz w:val="16"/>
          <w:szCs w:val="16"/>
        </w:rPr>
      </w:pPr>
      <w:r w:rsidRPr="00B61114">
        <w:rPr>
          <w:sz w:val="16"/>
          <w:szCs w:val="16"/>
        </w:rPr>
        <w:t>Nota:</w:t>
      </w:r>
      <w:r w:rsidRPr="00B61114">
        <w:rPr>
          <w:sz w:val="16"/>
          <w:szCs w:val="16"/>
        </w:rPr>
        <w:tab/>
        <w:t xml:space="preserve">Los indicadores se generan con los datos referentes al mes de la entrevista. </w:t>
      </w:r>
    </w:p>
    <w:p w14:paraId="3B72E0C7" w14:textId="77777777" w:rsidR="0007670F" w:rsidRPr="00B61114" w:rsidRDefault="0007670F" w:rsidP="005B4197">
      <w:pPr>
        <w:widowControl w:val="0"/>
        <w:ind w:left="700" w:hanging="602"/>
        <w:rPr>
          <w:sz w:val="16"/>
          <w:szCs w:val="16"/>
        </w:rPr>
      </w:pPr>
      <w:r w:rsidRPr="00B61114">
        <w:rPr>
          <w:sz w:val="18"/>
          <w:szCs w:val="18"/>
          <w:vertAlign w:val="superscript"/>
        </w:rPr>
        <w:t>1/</w:t>
      </w:r>
      <w:r w:rsidRPr="00B61114">
        <w:rPr>
          <w:sz w:val="16"/>
          <w:szCs w:val="16"/>
        </w:rPr>
        <w:tab/>
        <w:t>Las diferencias en puntos se obtienen de los respectivos indicadores considerando todos sus decimales.</w:t>
      </w:r>
    </w:p>
    <w:p w14:paraId="412617F9" w14:textId="052BF66D" w:rsidR="0007670F" w:rsidRPr="00B61114" w:rsidRDefault="0007670F" w:rsidP="005B4197">
      <w:pPr>
        <w:widowControl w:val="0"/>
        <w:ind w:left="700" w:hanging="602"/>
        <w:outlineLvl w:val="0"/>
        <w:rPr>
          <w:sz w:val="16"/>
          <w:szCs w:val="16"/>
        </w:rPr>
      </w:pPr>
      <w:r w:rsidRPr="00B61114">
        <w:rPr>
          <w:sz w:val="18"/>
          <w:szCs w:val="18"/>
          <w:vertAlign w:val="superscript"/>
        </w:rPr>
        <w:t>p/</w:t>
      </w:r>
      <w:r w:rsidRPr="00B61114">
        <w:rPr>
          <w:sz w:val="16"/>
          <w:szCs w:val="16"/>
        </w:rPr>
        <w:tab/>
        <w:t>Dato preliminar</w:t>
      </w:r>
      <w:r w:rsidR="0085046E" w:rsidRPr="00B61114">
        <w:rPr>
          <w:sz w:val="16"/>
          <w:szCs w:val="16"/>
        </w:rPr>
        <w:t>.</w:t>
      </w:r>
    </w:p>
    <w:p w14:paraId="6D727196" w14:textId="0E1A0A8F" w:rsidR="00AB6F59" w:rsidRPr="00B61114" w:rsidRDefault="00AB6F59" w:rsidP="005B4197">
      <w:pPr>
        <w:widowControl w:val="0"/>
        <w:ind w:left="700" w:hanging="602"/>
        <w:outlineLvl w:val="0"/>
        <w:rPr>
          <w:b/>
          <w:bCs/>
          <w:smallCaps/>
          <w:kern w:val="32"/>
          <w:sz w:val="16"/>
          <w:szCs w:val="16"/>
        </w:rPr>
      </w:pPr>
      <w:r w:rsidRPr="00B61114">
        <w:rPr>
          <w:sz w:val="16"/>
          <w:szCs w:val="16"/>
        </w:rPr>
        <w:t>Fuente:</w:t>
      </w:r>
      <w:r w:rsidR="00580C8B" w:rsidRPr="00B61114">
        <w:rPr>
          <w:sz w:val="16"/>
          <w:szCs w:val="16"/>
        </w:rPr>
        <w:tab/>
      </w:r>
      <w:r w:rsidR="0085046E" w:rsidRPr="00B61114">
        <w:rPr>
          <w:smallCaps/>
          <w:sz w:val="16"/>
          <w:szCs w:val="16"/>
        </w:rPr>
        <w:t>inegi</w:t>
      </w:r>
      <w:r w:rsidRPr="00B61114">
        <w:rPr>
          <w:sz w:val="16"/>
          <w:szCs w:val="16"/>
        </w:rPr>
        <w:t xml:space="preserve"> y Banco de México</w:t>
      </w:r>
      <w:r w:rsidR="00ED4D2F" w:rsidRPr="00B61114">
        <w:rPr>
          <w:sz w:val="16"/>
          <w:szCs w:val="16"/>
        </w:rPr>
        <w:t xml:space="preserve">. </w:t>
      </w:r>
      <w:proofErr w:type="spellStart"/>
      <w:r w:rsidR="0085046E" w:rsidRPr="00B61114">
        <w:rPr>
          <w:smallCaps/>
          <w:sz w:val="16"/>
          <w:szCs w:val="16"/>
        </w:rPr>
        <w:t>emoe</w:t>
      </w:r>
      <w:proofErr w:type="spellEnd"/>
      <w:r w:rsidR="00ED4D2F" w:rsidRPr="00B61114">
        <w:rPr>
          <w:sz w:val="16"/>
          <w:szCs w:val="16"/>
        </w:rPr>
        <w:t>, 202</w:t>
      </w:r>
      <w:r w:rsidR="00B14775">
        <w:rPr>
          <w:sz w:val="16"/>
          <w:szCs w:val="16"/>
        </w:rPr>
        <w:t>4</w:t>
      </w:r>
      <w:r w:rsidR="00ED4D2F" w:rsidRPr="00B61114">
        <w:rPr>
          <w:sz w:val="16"/>
          <w:szCs w:val="16"/>
        </w:rPr>
        <w:t>.</w:t>
      </w:r>
    </w:p>
    <w:p w14:paraId="0DC270AD" w14:textId="77777777" w:rsidR="005E578A" w:rsidRDefault="00F223A5" w:rsidP="005E578A">
      <w:pPr>
        <w:spacing w:before="360"/>
        <w:rPr>
          <w:b/>
          <w:smallCaps/>
        </w:rPr>
      </w:pPr>
      <w:bookmarkStart w:id="8" w:name="_Hlk7505158"/>
      <w:r w:rsidRPr="00B61114">
        <w:rPr>
          <w:b/>
          <w:smallCaps/>
        </w:rPr>
        <w:t>nota metodológica</w:t>
      </w:r>
      <w:bookmarkEnd w:id="8"/>
    </w:p>
    <w:p w14:paraId="0254F304" w14:textId="70C17360" w:rsidR="005E578A" w:rsidRDefault="005E578A" w:rsidP="005E578A">
      <w:pPr>
        <w:spacing w:before="360"/>
      </w:pPr>
      <w:r w:rsidRPr="005E578A">
        <w:t xml:space="preserve">La </w:t>
      </w:r>
      <w:proofErr w:type="spellStart"/>
      <w:r w:rsidRPr="005E578A">
        <w:rPr>
          <w:smallCaps/>
        </w:rPr>
        <w:t>emoe</w:t>
      </w:r>
      <w:proofErr w:type="spellEnd"/>
      <w:r w:rsidRPr="005E578A">
        <w:t xml:space="preserve"> genera indicadores mensuales a nivel nacional y de carácter cualitativo sobre la tendencia, confianza y pedidos manufactureros basados en las opiniones de</w:t>
      </w:r>
      <w:r>
        <w:t xml:space="preserve"> </w:t>
      </w:r>
      <w:r w:rsidRPr="0070270C">
        <w:t>las y</w:t>
      </w:r>
      <w:r w:rsidRPr="005E578A">
        <w:t xml:space="preserve"> los empresarios de las unidades económicas. A partir de estos, es posible conocer las expectativas respecto del comportamiento de la actividad económica de los sectores en estudio, </w:t>
      </w:r>
      <w:r w:rsidR="00627CBB">
        <w:t>con lo que se con</w:t>
      </w:r>
      <w:r w:rsidR="00202AB9">
        <w:t>tribuye</w:t>
      </w:r>
      <w:r w:rsidR="00202AB9" w:rsidRPr="005E578A">
        <w:t xml:space="preserve"> </w:t>
      </w:r>
      <w:r w:rsidRPr="005E578A">
        <w:t>a la toma de decisiones</w:t>
      </w:r>
      <w:r w:rsidR="00634243" w:rsidRPr="005E578A">
        <w:t>.</w:t>
      </w:r>
    </w:p>
    <w:p w14:paraId="2D80BFD0" w14:textId="45E4C863" w:rsidR="005E578A" w:rsidRDefault="005E578A" w:rsidP="005E578A">
      <w:pPr>
        <w:spacing w:before="360"/>
      </w:pPr>
      <w:r w:rsidRPr="005E578A">
        <w:t xml:space="preserve">La unidad de observación de la </w:t>
      </w:r>
      <w:proofErr w:type="spellStart"/>
      <w:r w:rsidRPr="005E578A">
        <w:rPr>
          <w:smallCaps/>
        </w:rPr>
        <w:t>emoe</w:t>
      </w:r>
      <w:proofErr w:type="spellEnd"/>
      <w:r w:rsidRPr="005E578A">
        <w:t xml:space="preserve"> es la empresa</w:t>
      </w:r>
      <w:r w:rsidR="00627CBB">
        <w:t xml:space="preserve">. Esta se </w:t>
      </w:r>
      <w:r w:rsidRPr="005E578A">
        <w:t>define como la unidad económica que bajo una sola entidad propietaria o controladora combina acciones y recursos para realizar actividades pertenecientes a los grandes sectores de actividad económica: producción de bienes</w:t>
      </w:r>
      <w:r w:rsidRPr="0070270C">
        <w:t xml:space="preserve"> </w:t>
      </w:r>
      <w:r w:rsidR="00257BAE">
        <w:t>—</w:t>
      </w:r>
      <w:r w:rsidR="003A5CBA">
        <w:t>I</w:t>
      </w:r>
      <w:r w:rsidRPr="00257BAE">
        <w:t xml:space="preserve">ndustrias manufactureras </w:t>
      </w:r>
      <w:r w:rsidRPr="0070270C">
        <w:t xml:space="preserve">y </w:t>
      </w:r>
      <w:r w:rsidR="003A5CBA">
        <w:t>C</w:t>
      </w:r>
      <w:r w:rsidRPr="0070270C">
        <w:t>onstrucción</w:t>
      </w:r>
      <w:r w:rsidR="00257BAE">
        <w:t>—</w:t>
      </w:r>
      <w:r w:rsidRPr="0070270C">
        <w:t xml:space="preserve">, compraventa de mercancías sin transformación </w:t>
      </w:r>
      <w:r w:rsidR="00257BAE">
        <w:t>—</w:t>
      </w:r>
      <w:r w:rsidR="003A5CBA">
        <w:t>C</w:t>
      </w:r>
      <w:r w:rsidRPr="0070270C">
        <w:t>omercio</w:t>
      </w:r>
      <w:r w:rsidR="00257BAE">
        <w:t>—</w:t>
      </w:r>
      <w:r w:rsidRPr="0070270C">
        <w:t xml:space="preserve"> o prestación de servicios </w:t>
      </w:r>
      <w:r w:rsidR="00257BAE">
        <w:t>—</w:t>
      </w:r>
      <w:r w:rsidR="003A5CBA">
        <w:t>S</w:t>
      </w:r>
      <w:r w:rsidRPr="0070270C">
        <w:t>ervicios privados no financieros</w:t>
      </w:r>
      <w:r w:rsidR="00257BAE">
        <w:t>—</w:t>
      </w:r>
      <w:r w:rsidRPr="0070270C">
        <w:t>.</w:t>
      </w:r>
      <w:r w:rsidRPr="005E578A">
        <w:t xml:space="preserve"> Además, las empresas objeto de estudio de la </w:t>
      </w:r>
      <w:proofErr w:type="spellStart"/>
      <w:r w:rsidRPr="005E578A">
        <w:rPr>
          <w:smallCaps/>
        </w:rPr>
        <w:t>emoe</w:t>
      </w:r>
      <w:proofErr w:type="spellEnd"/>
      <w:r w:rsidRPr="005E578A">
        <w:t xml:space="preserve"> son aquellas que ocupan a 101 y más personas para el desarrollo de sus actividades económicas</w:t>
      </w:r>
      <w:r w:rsidR="00634243" w:rsidRPr="005E578A">
        <w:t>.</w:t>
      </w:r>
    </w:p>
    <w:p w14:paraId="1F1A0ABE" w14:textId="77777777" w:rsidR="00A64511" w:rsidRDefault="00A64511" w:rsidP="005E578A">
      <w:pPr>
        <w:spacing w:before="360"/>
      </w:pPr>
    </w:p>
    <w:p w14:paraId="7734200A" w14:textId="5AFFEB0B" w:rsidR="005E578A" w:rsidRPr="005E578A" w:rsidRDefault="005E578A" w:rsidP="005E578A">
      <w:pPr>
        <w:spacing w:before="360"/>
      </w:pPr>
      <w:r w:rsidRPr="005E578A">
        <w:lastRenderedPageBreak/>
        <w:t xml:space="preserve">El marco poblacional </w:t>
      </w:r>
      <w:r w:rsidR="00347C9F">
        <w:t>se conforma</w:t>
      </w:r>
      <w:r w:rsidRPr="005E578A">
        <w:t xml:space="preserve"> por el directorio de empresas provenientes del Registro Estadístico de Negocios de México (</w:t>
      </w:r>
      <w:proofErr w:type="spellStart"/>
      <w:r w:rsidRPr="005E578A">
        <w:rPr>
          <w:smallCaps/>
        </w:rPr>
        <w:t>renem</w:t>
      </w:r>
      <w:proofErr w:type="spellEnd"/>
      <w:r w:rsidRPr="005E578A">
        <w:t xml:space="preserve">), mismo que </w:t>
      </w:r>
      <w:r w:rsidR="00257BAE">
        <w:t>s</w:t>
      </w:r>
      <w:r w:rsidRPr="005E578A">
        <w:t xml:space="preserve">e actualiza anualmente, </w:t>
      </w:r>
      <w:r w:rsidR="00EC12D6">
        <w:t xml:space="preserve">con </w:t>
      </w:r>
      <w:r w:rsidR="00257BAE">
        <w:t xml:space="preserve">lo que </w:t>
      </w:r>
      <w:r w:rsidR="00EC12D6">
        <w:t xml:space="preserve">se </w:t>
      </w:r>
      <w:r w:rsidRPr="005E578A">
        <w:t xml:space="preserve">favorece </w:t>
      </w:r>
      <w:r w:rsidR="00257BAE">
        <w:t>el</w:t>
      </w:r>
      <w:r w:rsidRPr="005E578A">
        <w:t xml:space="preserve"> cálculo estadístico. Para 2024, el marco de muestreo de las Industrias manufactureras se compone de 6</w:t>
      </w:r>
      <w:r>
        <w:t> </w:t>
      </w:r>
      <w:r w:rsidRPr="005E578A">
        <w:t>734 empresas mientras que la muestra asciende a 1</w:t>
      </w:r>
      <w:r>
        <w:t> </w:t>
      </w:r>
      <w:r w:rsidRPr="005E578A">
        <w:t>519</w:t>
      </w:r>
      <w:r w:rsidR="00A64511">
        <w:t> </w:t>
      </w:r>
      <w:r w:rsidRPr="005E578A">
        <w:t>empresas. Para la selección de la muestra, se utilizó un diseño probabilístico y estratificado con selección aleatoria sin remplazo e independiente en cada dominio-estrato. Se incluyen con certeza las empresas con más de mil personas ocupadas.</w:t>
      </w:r>
    </w:p>
    <w:p w14:paraId="25BE0457" w14:textId="5B5D5B9D" w:rsidR="005E578A" w:rsidRPr="005E578A" w:rsidRDefault="005E578A" w:rsidP="005E578A">
      <w:pPr>
        <w:keepNext/>
        <w:keepLines/>
        <w:spacing w:before="240"/>
      </w:pPr>
      <w:r w:rsidRPr="005E578A">
        <w:t>La información se recaba de manera mensual durante las primeras tres semanas del mes de referencia. Para captar la información, se utilizan cuatro modalidades: cuestionario impreso, cuestionario electrónico para dispositivos de cómputo móvil, el Centro de Entrevistas Telefónicas Asistidas por Computadora (</w:t>
      </w:r>
      <w:proofErr w:type="spellStart"/>
      <w:r w:rsidRPr="000B31D3">
        <w:rPr>
          <w:smallCaps/>
        </w:rPr>
        <w:t>cati</w:t>
      </w:r>
      <w:proofErr w:type="spellEnd"/>
      <w:r w:rsidRPr="005E578A">
        <w:t xml:space="preserve">, por sus siglas en inglés), así como cuestionario electrónico en el sitio del </w:t>
      </w:r>
      <w:r w:rsidRPr="005E578A">
        <w:rPr>
          <w:smallCaps/>
        </w:rPr>
        <w:t>inegi</w:t>
      </w:r>
      <w:r w:rsidRPr="005E578A">
        <w:t>.</w:t>
      </w:r>
    </w:p>
    <w:p w14:paraId="05B935E1" w14:textId="2C75B83D" w:rsidR="005E578A" w:rsidRPr="005E578A" w:rsidRDefault="005E578A" w:rsidP="005E578A">
      <w:pPr>
        <w:keepNext/>
        <w:keepLines/>
        <w:spacing w:before="240"/>
      </w:pPr>
      <w:r w:rsidRPr="005E578A">
        <w:t xml:space="preserve">Una vez </w:t>
      </w:r>
      <w:r w:rsidR="00923375">
        <w:t xml:space="preserve">que se </w:t>
      </w:r>
      <w:r w:rsidRPr="005E578A">
        <w:t>conclu</w:t>
      </w:r>
      <w:r w:rsidR="00923375">
        <w:t>ye</w:t>
      </w:r>
      <w:r w:rsidRPr="005E578A">
        <w:t xml:space="preserve"> la captación, los resultados se </w:t>
      </w:r>
      <w:r w:rsidRPr="0070270C">
        <w:t xml:space="preserve">presentan </w:t>
      </w:r>
      <w:r w:rsidR="003523E2" w:rsidRPr="0070270C">
        <w:t>en los primeros días</w:t>
      </w:r>
      <w:r w:rsidR="003523E2">
        <w:t xml:space="preserve"> </w:t>
      </w:r>
      <w:r w:rsidRPr="0025659B">
        <w:t xml:space="preserve">del mes </w:t>
      </w:r>
      <w:r w:rsidR="00651A76" w:rsidRPr="0025659B">
        <w:t xml:space="preserve">siguiente al </w:t>
      </w:r>
      <w:r w:rsidRPr="0025659B">
        <w:t>de</w:t>
      </w:r>
      <w:r w:rsidRPr="005E578A">
        <w:t xml:space="preserve"> referencia</w:t>
      </w:r>
      <w:r w:rsidR="003523E2">
        <w:t>,</w:t>
      </w:r>
      <w:r w:rsidRPr="005E578A">
        <w:t xml:space="preserve"> con carácter preliminar.</w:t>
      </w:r>
    </w:p>
    <w:p w14:paraId="2D54BC06" w14:textId="262F0077" w:rsidR="005E578A" w:rsidRPr="005E578A" w:rsidRDefault="005E578A" w:rsidP="005E578A">
      <w:pPr>
        <w:keepNext/>
        <w:keepLines/>
        <w:spacing w:before="240"/>
      </w:pPr>
      <w:r w:rsidRPr="005E578A">
        <w:t>En el diseño del cuestionario se considera</w:t>
      </w:r>
      <w:r w:rsidR="00923375">
        <w:t>n</w:t>
      </w:r>
      <w:r w:rsidRPr="005E578A">
        <w:t xml:space="preserve"> las recomendaciones del «Manual de Encuestas de Tendencia Económica» de Naciones Unidas, del «Manual de Encuestas de Tendencia de Negocios» de la Organización para la Cooperación y el Desarrollo Económicos y las emitidas por la Comisión Económica para América Latina y el Caribe en «Encuestas de Opinión Empresarial del Sector Industrial en América Latina», así como las sugerencias del Banco de México.</w:t>
      </w:r>
    </w:p>
    <w:p w14:paraId="3F2EFA57" w14:textId="7F8BC20B" w:rsidR="00634243" w:rsidRPr="00374231" w:rsidRDefault="005E578A" w:rsidP="005E578A">
      <w:pPr>
        <w:spacing w:before="240"/>
      </w:pPr>
      <w:r w:rsidRPr="005E578A">
        <w:t xml:space="preserve">El </w:t>
      </w:r>
      <w:proofErr w:type="spellStart"/>
      <w:r w:rsidR="003523E2" w:rsidRPr="003523E2">
        <w:rPr>
          <w:smallCaps/>
        </w:rPr>
        <w:t>ipm</w:t>
      </w:r>
      <w:proofErr w:type="spellEnd"/>
      <w:r w:rsidRPr="005E578A">
        <w:t xml:space="preserve"> se integra con las expectativas de </w:t>
      </w:r>
      <w:r w:rsidR="00B758A6" w:rsidRPr="0070270C">
        <w:t>las y</w:t>
      </w:r>
      <w:r w:rsidR="00B758A6" w:rsidRPr="00923375">
        <w:t xml:space="preserve"> </w:t>
      </w:r>
      <w:r w:rsidRPr="00923375">
        <w:t xml:space="preserve">los directivos empresariales para las siguientes variables: </w:t>
      </w:r>
      <w:r w:rsidR="003523E2" w:rsidRPr="00923375">
        <w:t>p</w:t>
      </w:r>
      <w:r w:rsidRPr="00923375">
        <w:t xml:space="preserve">edidos, </w:t>
      </w:r>
      <w:r w:rsidR="003523E2" w:rsidRPr="00923375">
        <w:t>p</w:t>
      </w:r>
      <w:r w:rsidRPr="00923375">
        <w:t xml:space="preserve">roducción, </w:t>
      </w:r>
      <w:r w:rsidR="003523E2" w:rsidRPr="00923375">
        <w:t>p</w:t>
      </w:r>
      <w:r w:rsidRPr="00923375">
        <w:t xml:space="preserve">ersonal </w:t>
      </w:r>
      <w:r w:rsidR="003523E2" w:rsidRPr="00923375">
        <w:t>o</w:t>
      </w:r>
      <w:r w:rsidRPr="00923375">
        <w:t xml:space="preserve">cupado, </w:t>
      </w:r>
      <w:r w:rsidR="003523E2" w:rsidRPr="00923375">
        <w:t>o</w:t>
      </w:r>
      <w:r w:rsidRPr="00923375">
        <w:t xml:space="preserve">portunidad de la </w:t>
      </w:r>
      <w:r w:rsidR="003523E2" w:rsidRPr="00923375">
        <w:t>e</w:t>
      </w:r>
      <w:r w:rsidRPr="00923375">
        <w:t xml:space="preserve">ntrega de </w:t>
      </w:r>
      <w:r w:rsidR="003523E2" w:rsidRPr="00923375">
        <w:t>i</w:t>
      </w:r>
      <w:r w:rsidRPr="00923375">
        <w:t xml:space="preserve">nsumos por parte de </w:t>
      </w:r>
      <w:r w:rsidR="003523E2" w:rsidRPr="0070270C">
        <w:t>las y</w:t>
      </w:r>
      <w:r w:rsidR="003523E2" w:rsidRPr="00923375">
        <w:t xml:space="preserve"> </w:t>
      </w:r>
      <w:r w:rsidRPr="00923375">
        <w:t>los</w:t>
      </w:r>
      <w:r w:rsidRPr="005E578A">
        <w:t xml:space="preserve"> </w:t>
      </w:r>
      <w:r w:rsidR="003523E2">
        <w:t>p</w:t>
      </w:r>
      <w:r w:rsidRPr="005E578A">
        <w:t xml:space="preserve">roveedores e </w:t>
      </w:r>
      <w:r w:rsidR="003523E2">
        <w:t>i</w:t>
      </w:r>
      <w:r w:rsidRPr="005E578A">
        <w:t xml:space="preserve">nventarios de </w:t>
      </w:r>
      <w:r w:rsidR="003523E2">
        <w:t>i</w:t>
      </w:r>
      <w:r w:rsidRPr="005E578A">
        <w:t>nsumos</w:t>
      </w:r>
      <w:r w:rsidR="00634243" w:rsidRPr="00374231">
        <w:t>.</w:t>
      </w:r>
    </w:p>
    <w:p w14:paraId="0846A38A" w14:textId="77777777" w:rsidR="00634243" w:rsidRPr="00374231" w:rsidRDefault="00634243" w:rsidP="00634243">
      <w:pPr>
        <w:spacing w:before="240"/>
      </w:pPr>
      <w:r w:rsidRPr="00374231">
        <w:t xml:space="preserve">El </w:t>
      </w:r>
      <w:proofErr w:type="spellStart"/>
      <w:r w:rsidRPr="00374231">
        <w:rPr>
          <w:smallCaps/>
        </w:rPr>
        <w:t>ipm</w:t>
      </w:r>
      <w:proofErr w:type="spellEnd"/>
      <w:r w:rsidRPr="00374231">
        <w:t xml:space="preserve"> para el total del sector manufacturero, y para cada uno de los grupos de subsectores de actividad que se toman en cuenta, resulta de la agregación de los cinco indicadores mencionados. Estos consideran distintas etapas o variables del proceso productivo que normalmente efectúan las empresas manufactureras, mismas que se muestran a continuación:</w:t>
      </w:r>
    </w:p>
    <w:p w14:paraId="18FCA6FF" w14:textId="77777777" w:rsidR="00634243" w:rsidRPr="00374231" w:rsidRDefault="00634243" w:rsidP="00634243">
      <w:pPr>
        <w:numPr>
          <w:ilvl w:val="0"/>
          <w:numId w:val="28"/>
        </w:numPr>
        <w:tabs>
          <w:tab w:val="left" w:pos="9432"/>
        </w:tabs>
        <w:spacing w:before="240"/>
        <w:ind w:left="714" w:hanging="357"/>
      </w:pPr>
      <w:r w:rsidRPr="00374231">
        <w:t xml:space="preserve">Pedidos (30 % del </w:t>
      </w:r>
      <w:proofErr w:type="spellStart"/>
      <w:r w:rsidRPr="00374231">
        <w:rPr>
          <w:smallCaps/>
        </w:rPr>
        <w:t>ipm</w:t>
      </w:r>
      <w:proofErr w:type="spellEnd"/>
      <w:r w:rsidRPr="00374231">
        <w:t>)</w:t>
      </w:r>
    </w:p>
    <w:p w14:paraId="2F9F5184" w14:textId="77777777" w:rsidR="00634243" w:rsidRPr="00374231" w:rsidRDefault="00634243" w:rsidP="00634243">
      <w:pPr>
        <w:numPr>
          <w:ilvl w:val="0"/>
          <w:numId w:val="27"/>
        </w:numPr>
        <w:tabs>
          <w:tab w:val="num" w:pos="720"/>
          <w:tab w:val="left" w:pos="9432"/>
        </w:tabs>
      </w:pPr>
      <w:r w:rsidRPr="00374231">
        <w:t>¿Cómo considera usted el comportamiento en el volumen total de pedidos a su empresa provenientes de los mercados, interno y externo, para los periodos indicados respecto al inmediato anterior?</w:t>
      </w:r>
    </w:p>
    <w:p w14:paraId="0E06F65E" w14:textId="77777777" w:rsidR="00634243" w:rsidRPr="00374231" w:rsidRDefault="00634243" w:rsidP="00634243">
      <w:pPr>
        <w:numPr>
          <w:ilvl w:val="0"/>
          <w:numId w:val="28"/>
        </w:numPr>
        <w:tabs>
          <w:tab w:val="left" w:pos="9432"/>
        </w:tabs>
        <w:spacing w:before="120"/>
        <w:ind w:left="714" w:hanging="357"/>
      </w:pPr>
      <w:r w:rsidRPr="00374231">
        <w:t xml:space="preserve">Producción (25 % del </w:t>
      </w:r>
      <w:proofErr w:type="spellStart"/>
      <w:r w:rsidRPr="00374231">
        <w:rPr>
          <w:smallCaps/>
        </w:rPr>
        <w:t>ipm</w:t>
      </w:r>
      <w:proofErr w:type="spellEnd"/>
      <w:r w:rsidRPr="00374231">
        <w:t>)</w:t>
      </w:r>
    </w:p>
    <w:p w14:paraId="3C263D94" w14:textId="77777777" w:rsidR="00634243" w:rsidRPr="00374231" w:rsidRDefault="00634243" w:rsidP="00634243">
      <w:pPr>
        <w:numPr>
          <w:ilvl w:val="0"/>
          <w:numId w:val="27"/>
        </w:numPr>
        <w:tabs>
          <w:tab w:val="left" w:pos="9432"/>
        </w:tabs>
        <w:ind w:left="728"/>
      </w:pPr>
      <w:r w:rsidRPr="00374231">
        <w:t>Para los periodos indicados respecto al inmediato anterior, ¿cómo se comportó el volumen físico de producción de su empresa?</w:t>
      </w:r>
    </w:p>
    <w:p w14:paraId="221530E8" w14:textId="77777777" w:rsidR="00634243" w:rsidRPr="00374231" w:rsidRDefault="00634243" w:rsidP="00634243">
      <w:pPr>
        <w:numPr>
          <w:ilvl w:val="0"/>
          <w:numId w:val="28"/>
        </w:numPr>
        <w:tabs>
          <w:tab w:val="left" w:pos="9432"/>
        </w:tabs>
        <w:spacing w:before="120"/>
        <w:ind w:left="714" w:hanging="357"/>
      </w:pPr>
      <w:r w:rsidRPr="00374231">
        <w:t xml:space="preserve">Personal ocupado (20 % del </w:t>
      </w:r>
      <w:proofErr w:type="spellStart"/>
      <w:r w:rsidRPr="00374231">
        <w:rPr>
          <w:smallCaps/>
        </w:rPr>
        <w:t>ipm</w:t>
      </w:r>
      <w:proofErr w:type="spellEnd"/>
      <w:r w:rsidRPr="00374231">
        <w:t>)</w:t>
      </w:r>
    </w:p>
    <w:p w14:paraId="5F030CB9" w14:textId="3BA998D3" w:rsidR="00634243" w:rsidRPr="00374231" w:rsidRDefault="00634243" w:rsidP="00B52F72">
      <w:pPr>
        <w:numPr>
          <w:ilvl w:val="0"/>
          <w:numId w:val="27"/>
        </w:numPr>
        <w:tabs>
          <w:tab w:val="left" w:pos="9432"/>
        </w:tabs>
        <w:ind w:left="728"/>
        <w:jc w:val="left"/>
      </w:pPr>
      <w:r w:rsidRPr="00374231">
        <w:t>¿Cómo evolucionó y estima que lo hará el número de obreros y empleados dependientes de su empresa, o de otra razón social que laboran en la misma, en los periodos indicados respecto al inmediato anterior?</w:t>
      </w:r>
      <w:r w:rsidR="00607F50">
        <w:br w:type="page"/>
      </w:r>
    </w:p>
    <w:p w14:paraId="4118CD23" w14:textId="77777777" w:rsidR="00634243" w:rsidRPr="00374231" w:rsidRDefault="00634243" w:rsidP="00634243">
      <w:pPr>
        <w:numPr>
          <w:ilvl w:val="0"/>
          <w:numId w:val="28"/>
        </w:numPr>
        <w:tabs>
          <w:tab w:val="left" w:pos="9432"/>
        </w:tabs>
        <w:spacing w:before="120"/>
        <w:ind w:left="714" w:hanging="357"/>
      </w:pPr>
      <w:r w:rsidRPr="00374231">
        <w:lastRenderedPageBreak/>
        <w:t xml:space="preserve">Entregas de proveedores (15 % del </w:t>
      </w:r>
      <w:proofErr w:type="spellStart"/>
      <w:r w:rsidRPr="00374231">
        <w:rPr>
          <w:smallCaps/>
        </w:rPr>
        <w:t>ipm</w:t>
      </w:r>
      <w:proofErr w:type="spellEnd"/>
      <w:r w:rsidRPr="00374231">
        <w:t>)</w:t>
      </w:r>
    </w:p>
    <w:p w14:paraId="6F828770" w14:textId="77777777" w:rsidR="00634243" w:rsidRPr="00374231" w:rsidRDefault="00634243" w:rsidP="00634243">
      <w:pPr>
        <w:numPr>
          <w:ilvl w:val="0"/>
          <w:numId w:val="27"/>
        </w:numPr>
        <w:tabs>
          <w:tab w:val="left" w:pos="9432"/>
        </w:tabs>
        <w:ind w:left="728"/>
      </w:pPr>
      <w:r w:rsidRPr="00374231">
        <w:t>Para los periodos indicados con respecto al mes anterior, ¿cómo califica la oportunidad de la entrega de insumos por parte de proveedores?</w:t>
      </w:r>
    </w:p>
    <w:p w14:paraId="7D92B7B7" w14:textId="77777777" w:rsidR="00634243" w:rsidRPr="00374231" w:rsidRDefault="00634243" w:rsidP="00634243">
      <w:pPr>
        <w:tabs>
          <w:tab w:val="left" w:pos="9432"/>
        </w:tabs>
        <w:ind w:left="728"/>
      </w:pPr>
      <w:r w:rsidRPr="00374231">
        <w:t>El ponderador para la variable entrega de insumos es de carácter inverso, de modo que niveles por encima (debajo) de 50 puntos indican entregas de insumos de proveedores menos (más) oportunas.</w:t>
      </w:r>
    </w:p>
    <w:p w14:paraId="009ED435" w14:textId="77777777" w:rsidR="00634243" w:rsidRPr="00374231" w:rsidRDefault="00634243" w:rsidP="00634243">
      <w:pPr>
        <w:numPr>
          <w:ilvl w:val="0"/>
          <w:numId w:val="28"/>
        </w:numPr>
        <w:tabs>
          <w:tab w:val="left" w:pos="9432"/>
        </w:tabs>
        <w:spacing w:before="120"/>
        <w:ind w:left="714" w:hanging="357"/>
      </w:pPr>
      <w:r w:rsidRPr="00374231">
        <w:t xml:space="preserve">Inventarios (10 % del </w:t>
      </w:r>
      <w:proofErr w:type="spellStart"/>
      <w:r w:rsidRPr="00374231">
        <w:rPr>
          <w:smallCaps/>
        </w:rPr>
        <w:t>ipm</w:t>
      </w:r>
      <w:proofErr w:type="spellEnd"/>
      <w:r w:rsidRPr="00374231">
        <w:t>)</w:t>
      </w:r>
    </w:p>
    <w:p w14:paraId="683F97F2" w14:textId="77777777" w:rsidR="00634243" w:rsidRPr="00374231" w:rsidRDefault="00634243" w:rsidP="00634243">
      <w:pPr>
        <w:numPr>
          <w:ilvl w:val="0"/>
          <w:numId w:val="27"/>
        </w:numPr>
        <w:tabs>
          <w:tab w:val="left" w:pos="9432"/>
        </w:tabs>
        <w:ind w:left="728"/>
      </w:pPr>
      <w:r w:rsidRPr="00374231">
        <w:t>¿Cómo evolucionó el volumen físico de sus inventarios de insumos y bienes intermedios para los periodos indicados respecto al inmediato anterior?</w:t>
      </w:r>
    </w:p>
    <w:p w14:paraId="6AB4FC93" w14:textId="77777777" w:rsidR="00634243" w:rsidRPr="00B61114" w:rsidRDefault="00634243" w:rsidP="00634243">
      <w:pPr>
        <w:tabs>
          <w:tab w:val="left" w:pos="9432"/>
        </w:tabs>
        <w:spacing w:before="240"/>
      </w:pPr>
      <w:r w:rsidRPr="00B61114">
        <w:t xml:space="preserve">Para las preguntas 1, 2, 3 y 5, la o el informante tiene cinco opciones de respuesta: </w:t>
      </w:r>
      <w:r w:rsidRPr="00B61114">
        <w:rPr>
          <w:i/>
          <w:iCs/>
        </w:rPr>
        <w:t>mucho mayor</w:t>
      </w:r>
      <w:r w:rsidRPr="00B61114">
        <w:t xml:space="preserve">, </w:t>
      </w:r>
      <w:r w:rsidRPr="00B61114">
        <w:rPr>
          <w:i/>
          <w:iCs/>
        </w:rPr>
        <w:t>mayor</w:t>
      </w:r>
      <w:r w:rsidRPr="00B61114">
        <w:t xml:space="preserve">, </w:t>
      </w:r>
      <w:r w:rsidRPr="00B61114">
        <w:rPr>
          <w:i/>
          <w:iCs/>
        </w:rPr>
        <w:t>igual</w:t>
      </w:r>
      <w:r w:rsidRPr="00B61114">
        <w:t xml:space="preserve">, </w:t>
      </w:r>
      <w:r w:rsidRPr="00B61114">
        <w:rPr>
          <w:i/>
          <w:iCs/>
        </w:rPr>
        <w:t>menor</w:t>
      </w:r>
      <w:r w:rsidRPr="00B61114">
        <w:t xml:space="preserve"> y </w:t>
      </w:r>
      <w:r w:rsidRPr="00B61114">
        <w:rPr>
          <w:i/>
          <w:iCs/>
        </w:rPr>
        <w:t>mucho menor</w:t>
      </w:r>
      <w:r w:rsidRPr="00B61114">
        <w:t xml:space="preserve">. Para la cuarta pregunta, las opciones de respuesta son: </w:t>
      </w:r>
      <w:r w:rsidRPr="00B61114">
        <w:rPr>
          <w:i/>
          <w:iCs/>
        </w:rPr>
        <w:t>más rápida</w:t>
      </w:r>
      <w:r w:rsidRPr="00B61114">
        <w:t xml:space="preserve">, </w:t>
      </w:r>
      <w:r w:rsidRPr="00B61114">
        <w:rPr>
          <w:i/>
          <w:iCs/>
        </w:rPr>
        <w:t>rápida</w:t>
      </w:r>
      <w:r w:rsidRPr="00B61114">
        <w:t xml:space="preserve">, </w:t>
      </w:r>
      <w:r w:rsidRPr="00B61114">
        <w:rPr>
          <w:i/>
          <w:iCs/>
        </w:rPr>
        <w:t>igual</w:t>
      </w:r>
      <w:r w:rsidRPr="00B61114">
        <w:t xml:space="preserve">, </w:t>
      </w:r>
      <w:r w:rsidRPr="00B61114">
        <w:rPr>
          <w:i/>
          <w:iCs/>
        </w:rPr>
        <w:t>lenta</w:t>
      </w:r>
      <w:r w:rsidRPr="00B61114">
        <w:t xml:space="preserve"> y </w:t>
      </w:r>
      <w:r w:rsidRPr="00B61114">
        <w:rPr>
          <w:i/>
          <w:iCs/>
        </w:rPr>
        <w:t>más lenta</w:t>
      </w:r>
      <w:r w:rsidRPr="00B61114">
        <w:t>.</w:t>
      </w:r>
    </w:p>
    <w:p w14:paraId="3C4A7AA7" w14:textId="77777777" w:rsidR="00634243" w:rsidRPr="00B61114" w:rsidRDefault="00634243" w:rsidP="00634243">
      <w:pPr>
        <w:spacing w:before="240" w:after="240"/>
      </w:pPr>
      <w:r w:rsidRPr="00B61114">
        <w:t>Cada nivel de respuesta cuenta con un ponderador: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634243" w:rsidRPr="00B61114" w14:paraId="696FE21B" w14:textId="77777777" w:rsidTr="00A564EF">
        <w:trPr>
          <w:jc w:val="center"/>
        </w:trPr>
        <w:tc>
          <w:tcPr>
            <w:tcW w:w="396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10503E0D" w14:textId="77777777" w:rsidR="00634243" w:rsidRPr="00B61114" w:rsidRDefault="00634243" w:rsidP="00A564EF">
            <w:pPr>
              <w:tabs>
                <w:tab w:val="left" w:pos="9432"/>
              </w:tabs>
              <w:spacing w:before="120" w:after="120"/>
              <w:ind w:left="149"/>
              <w:rPr>
                <w:sz w:val="20"/>
                <w:szCs w:val="20"/>
              </w:rPr>
            </w:pPr>
            <w:r w:rsidRPr="00B61114">
              <w:rPr>
                <w:sz w:val="20"/>
                <w:szCs w:val="20"/>
              </w:rPr>
              <w:t>Opción de respuesta</w:t>
            </w:r>
          </w:p>
        </w:tc>
        <w:tc>
          <w:tcPr>
            <w:tcW w:w="1985"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CCCCFF"/>
          </w:tcPr>
          <w:p w14:paraId="716922FB" w14:textId="77777777" w:rsidR="00634243" w:rsidRPr="00B61114" w:rsidRDefault="00634243" w:rsidP="00A564EF">
            <w:pPr>
              <w:tabs>
                <w:tab w:val="left" w:pos="9432"/>
              </w:tabs>
              <w:spacing w:before="120" w:after="120"/>
              <w:jc w:val="center"/>
              <w:rPr>
                <w:sz w:val="20"/>
                <w:szCs w:val="20"/>
              </w:rPr>
            </w:pPr>
            <w:r w:rsidRPr="00B61114">
              <w:rPr>
                <w:sz w:val="20"/>
                <w:szCs w:val="20"/>
              </w:rPr>
              <w:t>Ponderador</w:t>
            </w:r>
          </w:p>
        </w:tc>
      </w:tr>
      <w:tr w:rsidR="00634243" w:rsidRPr="00B61114" w14:paraId="2ED8D8D7" w14:textId="77777777" w:rsidTr="00A564EF">
        <w:trPr>
          <w:jc w:val="center"/>
        </w:trPr>
        <w:tc>
          <w:tcPr>
            <w:tcW w:w="3969"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04420772" w14:textId="77777777" w:rsidR="00634243" w:rsidRPr="00B61114" w:rsidRDefault="00634243" w:rsidP="00A564EF">
            <w:pPr>
              <w:tabs>
                <w:tab w:val="left" w:pos="9432"/>
              </w:tabs>
              <w:spacing w:before="60"/>
              <w:ind w:firstLine="128"/>
              <w:rPr>
                <w:sz w:val="20"/>
                <w:szCs w:val="20"/>
              </w:rPr>
            </w:pPr>
            <w:r w:rsidRPr="00B61114">
              <w:rPr>
                <w:sz w:val="20"/>
                <w:szCs w:val="20"/>
              </w:rPr>
              <w:t>Mucho mayor</w:t>
            </w:r>
          </w:p>
        </w:tc>
        <w:tc>
          <w:tcPr>
            <w:tcW w:w="1985" w:type="dxa"/>
            <w:tcBorders>
              <w:top w:val="single" w:sz="4" w:space="0" w:color="404040" w:themeColor="text1" w:themeTint="BF"/>
              <w:left w:val="single" w:sz="4" w:space="0" w:color="404040" w:themeColor="text1" w:themeTint="BF"/>
              <w:bottom w:val="nil"/>
              <w:right w:val="single" w:sz="4" w:space="0" w:color="404040" w:themeColor="text1" w:themeTint="BF"/>
            </w:tcBorders>
          </w:tcPr>
          <w:p w14:paraId="74244786" w14:textId="77777777" w:rsidR="00634243" w:rsidRPr="00B61114" w:rsidRDefault="00634243" w:rsidP="00A564EF">
            <w:pPr>
              <w:tabs>
                <w:tab w:val="left" w:pos="9432"/>
              </w:tabs>
              <w:spacing w:before="60"/>
              <w:ind w:right="590"/>
              <w:jc w:val="right"/>
              <w:rPr>
                <w:sz w:val="20"/>
                <w:szCs w:val="20"/>
              </w:rPr>
            </w:pPr>
            <w:r w:rsidRPr="00B61114">
              <w:rPr>
                <w:sz w:val="20"/>
                <w:szCs w:val="20"/>
              </w:rPr>
              <w:t>1.00</w:t>
            </w:r>
          </w:p>
        </w:tc>
      </w:tr>
      <w:tr w:rsidR="00634243" w:rsidRPr="00B61114" w14:paraId="06D921D9"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50037F01" w14:textId="77777777" w:rsidR="00634243" w:rsidRPr="00B61114" w:rsidRDefault="00634243" w:rsidP="00A564EF">
            <w:pPr>
              <w:tabs>
                <w:tab w:val="left" w:pos="9432"/>
              </w:tabs>
              <w:ind w:firstLine="128"/>
              <w:rPr>
                <w:sz w:val="20"/>
                <w:szCs w:val="20"/>
              </w:rPr>
            </w:pPr>
            <w:r w:rsidRPr="00B61114">
              <w:rPr>
                <w:sz w:val="20"/>
                <w:szCs w:val="20"/>
              </w:rPr>
              <w:t xml:space="preserve">Mayor </w:t>
            </w:r>
          </w:p>
        </w:tc>
        <w:tc>
          <w:tcPr>
            <w:tcW w:w="1985" w:type="dxa"/>
            <w:tcBorders>
              <w:top w:val="nil"/>
              <w:left w:val="single" w:sz="4" w:space="0" w:color="404040" w:themeColor="text1" w:themeTint="BF"/>
              <w:bottom w:val="nil"/>
              <w:right w:val="single" w:sz="4" w:space="0" w:color="404040" w:themeColor="text1" w:themeTint="BF"/>
            </w:tcBorders>
          </w:tcPr>
          <w:p w14:paraId="312C2D78" w14:textId="77777777" w:rsidR="00634243" w:rsidRPr="00B61114" w:rsidRDefault="00634243" w:rsidP="00A564EF">
            <w:pPr>
              <w:tabs>
                <w:tab w:val="left" w:pos="9432"/>
              </w:tabs>
              <w:ind w:right="590"/>
              <w:jc w:val="right"/>
              <w:rPr>
                <w:sz w:val="20"/>
                <w:szCs w:val="20"/>
              </w:rPr>
            </w:pPr>
            <w:r w:rsidRPr="00B61114">
              <w:rPr>
                <w:sz w:val="20"/>
                <w:szCs w:val="20"/>
              </w:rPr>
              <w:t>0.75</w:t>
            </w:r>
          </w:p>
        </w:tc>
      </w:tr>
      <w:tr w:rsidR="00634243" w:rsidRPr="00B61114" w14:paraId="741A39B3"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52F43FB9" w14:textId="77777777" w:rsidR="00634243" w:rsidRPr="00B61114" w:rsidRDefault="00634243" w:rsidP="00A564EF">
            <w:pPr>
              <w:tabs>
                <w:tab w:val="left" w:pos="9432"/>
              </w:tabs>
              <w:ind w:firstLine="128"/>
              <w:rPr>
                <w:sz w:val="20"/>
                <w:szCs w:val="20"/>
              </w:rPr>
            </w:pPr>
            <w:r w:rsidRPr="00B61114">
              <w:rPr>
                <w:sz w:val="20"/>
                <w:szCs w:val="20"/>
              </w:rPr>
              <w:t>Igual</w:t>
            </w:r>
          </w:p>
        </w:tc>
        <w:tc>
          <w:tcPr>
            <w:tcW w:w="1985" w:type="dxa"/>
            <w:tcBorders>
              <w:top w:val="nil"/>
              <w:left w:val="single" w:sz="4" w:space="0" w:color="404040" w:themeColor="text1" w:themeTint="BF"/>
              <w:bottom w:val="nil"/>
              <w:right w:val="single" w:sz="4" w:space="0" w:color="404040" w:themeColor="text1" w:themeTint="BF"/>
            </w:tcBorders>
          </w:tcPr>
          <w:p w14:paraId="7F3D7764" w14:textId="77777777" w:rsidR="00634243" w:rsidRPr="00B61114" w:rsidRDefault="00634243" w:rsidP="00A564EF">
            <w:pPr>
              <w:tabs>
                <w:tab w:val="left" w:pos="9432"/>
              </w:tabs>
              <w:ind w:right="590"/>
              <w:jc w:val="right"/>
              <w:rPr>
                <w:sz w:val="20"/>
                <w:szCs w:val="20"/>
              </w:rPr>
            </w:pPr>
            <w:r w:rsidRPr="00B61114">
              <w:rPr>
                <w:sz w:val="20"/>
                <w:szCs w:val="20"/>
              </w:rPr>
              <w:t>0.50</w:t>
            </w:r>
          </w:p>
        </w:tc>
      </w:tr>
      <w:tr w:rsidR="00634243" w:rsidRPr="00B61114" w14:paraId="1AD28703" w14:textId="77777777" w:rsidTr="00A564EF">
        <w:trPr>
          <w:jc w:val="center"/>
        </w:trPr>
        <w:tc>
          <w:tcPr>
            <w:tcW w:w="3969" w:type="dxa"/>
            <w:tcBorders>
              <w:top w:val="nil"/>
              <w:left w:val="single" w:sz="4" w:space="0" w:color="404040" w:themeColor="text1" w:themeTint="BF"/>
              <w:bottom w:val="nil"/>
              <w:right w:val="single" w:sz="4" w:space="0" w:color="404040" w:themeColor="text1" w:themeTint="BF"/>
            </w:tcBorders>
          </w:tcPr>
          <w:p w14:paraId="2D248A54" w14:textId="77777777" w:rsidR="00634243" w:rsidRPr="00B61114" w:rsidRDefault="00634243" w:rsidP="00A564EF">
            <w:pPr>
              <w:tabs>
                <w:tab w:val="left" w:pos="9432"/>
              </w:tabs>
              <w:ind w:firstLine="128"/>
              <w:rPr>
                <w:sz w:val="20"/>
                <w:szCs w:val="20"/>
              </w:rPr>
            </w:pPr>
            <w:r w:rsidRPr="00B61114">
              <w:rPr>
                <w:sz w:val="20"/>
                <w:szCs w:val="20"/>
              </w:rPr>
              <w:t>Menor</w:t>
            </w:r>
          </w:p>
        </w:tc>
        <w:tc>
          <w:tcPr>
            <w:tcW w:w="1985" w:type="dxa"/>
            <w:tcBorders>
              <w:top w:val="nil"/>
              <w:left w:val="single" w:sz="4" w:space="0" w:color="404040" w:themeColor="text1" w:themeTint="BF"/>
              <w:bottom w:val="nil"/>
              <w:right w:val="single" w:sz="4" w:space="0" w:color="404040" w:themeColor="text1" w:themeTint="BF"/>
            </w:tcBorders>
          </w:tcPr>
          <w:p w14:paraId="6DDB8D8F" w14:textId="77777777" w:rsidR="00634243" w:rsidRPr="00B61114" w:rsidRDefault="00634243" w:rsidP="00A564EF">
            <w:pPr>
              <w:tabs>
                <w:tab w:val="left" w:pos="9432"/>
              </w:tabs>
              <w:ind w:right="590"/>
              <w:jc w:val="right"/>
              <w:rPr>
                <w:sz w:val="20"/>
                <w:szCs w:val="20"/>
              </w:rPr>
            </w:pPr>
            <w:r w:rsidRPr="00B61114">
              <w:rPr>
                <w:sz w:val="20"/>
                <w:szCs w:val="20"/>
              </w:rPr>
              <w:t>0.25</w:t>
            </w:r>
          </w:p>
        </w:tc>
      </w:tr>
      <w:tr w:rsidR="00634243" w:rsidRPr="00B61114" w14:paraId="5DB06428" w14:textId="77777777" w:rsidTr="00A564EF">
        <w:trPr>
          <w:jc w:val="center"/>
        </w:trPr>
        <w:tc>
          <w:tcPr>
            <w:tcW w:w="3969"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19922C79" w14:textId="77777777" w:rsidR="00634243" w:rsidRPr="00B61114" w:rsidRDefault="00634243" w:rsidP="00A564EF">
            <w:pPr>
              <w:tabs>
                <w:tab w:val="left" w:pos="9432"/>
              </w:tabs>
              <w:spacing w:after="60"/>
              <w:ind w:firstLine="128"/>
              <w:rPr>
                <w:strike/>
                <w:sz w:val="20"/>
                <w:szCs w:val="20"/>
              </w:rPr>
            </w:pPr>
            <w:r w:rsidRPr="00B61114">
              <w:rPr>
                <w:sz w:val="20"/>
                <w:szCs w:val="20"/>
              </w:rPr>
              <w:t>Mucho menor</w:t>
            </w:r>
          </w:p>
        </w:tc>
        <w:tc>
          <w:tcPr>
            <w:tcW w:w="1985" w:type="dxa"/>
            <w:tcBorders>
              <w:top w:val="nil"/>
              <w:left w:val="single" w:sz="4" w:space="0" w:color="404040" w:themeColor="text1" w:themeTint="BF"/>
              <w:bottom w:val="single" w:sz="4" w:space="0" w:color="404040" w:themeColor="text1" w:themeTint="BF"/>
              <w:right w:val="single" w:sz="4" w:space="0" w:color="404040" w:themeColor="text1" w:themeTint="BF"/>
            </w:tcBorders>
          </w:tcPr>
          <w:p w14:paraId="17C0E225" w14:textId="77777777" w:rsidR="00634243" w:rsidRPr="00B61114" w:rsidRDefault="00634243" w:rsidP="00A564EF">
            <w:pPr>
              <w:tabs>
                <w:tab w:val="left" w:pos="9432"/>
              </w:tabs>
              <w:spacing w:after="60"/>
              <w:ind w:right="590"/>
              <w:jc w:val="right"/>
              <w:rPr>
                <w:sz w:val="20"/>
                <w:szCs w:val="20"/>
              </w:rPr>
            </w:pPr>
            <w:r w:rsidRPr="00B61114">
              <w:rPr>
                <w:sz w:val="20"/>
                <w:szCs w:val="20"/>
              </w:rPr>
              <w:t>0.00</w:t>
            </w:r>
          </w:p>
        </w:tc>
      </w:tr>
    </w:tbl>
    <w:p w14:paraId="52FF2DA5" w14:textId="77777777" w:rsidR="00634243" w:rsidRPr="00B61114" w:rsidRDefault="00634243" w:rsidP="00634243">
      <w:pPr>
        <w:spacing w:before="240"/>
      </w:pPr>
      <w:r w:rsidRPr="00B61114">
        <w:t xml:space="preserve">En el </w:t>
      </w:r>
      <w:proofErr w:type="spellStart"/>
      <w:r w:rsidRPr="00B61114">
        <w:rPr>
          <w:smallCaps/>
        </w:rPr>
        <w:t>ipm</w:t>
      </w:r>
      <w:proofErr w:type="spellEnd"/>
      <w:r w:rsidRPr="00B61114">
        <w:t>, el valor 50 constituye el umbral para delimitar una expansión de una contracción en la actividad del sector manufacturero.</w:t>
      </w:r>
    </w:p>
    <w:p w14:paraId="2286E7FD" w14:textId="77777777" w:rsidR="00634243" w:rsidRPr="00B61114" w:rsidRDefault="00634243" w:rsidP="00634243">
      <w:pPr>
        <w:pStyle w:val="Default"/>
        <w:widowControl w:val="0"/>
        <w:spacing w:before="240"/>
        <w:jc w:val="both"/>
        <w:rPr>
          <w:color w:val="auto"/>
        </w:rPr>
      </w:pPr>
      <w:r w:rsidRPr="00B61114">
        <w:rPr>
          <w:color w:val="auto"/>
        </w:rPr>
        <w:t xml:space="preserve">El </w:t>
      </w:r>
      <w:proofErr w:type="spellStart"/>
      <w:r w:rsidRPr="00B61114">
        <w:rPr>
          <w:smallCaps/>
          <w:color w:val="auto"/>
        </w:rPr>
        <w:t>ipm</w:t>
      </w:r>
      <w:proofErr w:type="spellEnd"/>
      <w:r w:rsidRPr="00B61114">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2C7E8E9B" w14:textId="1475C184" w:rsidR="00634243" w:rsidRPr="00B61114" w:rsidRDefault="00634243" w:rsidP="00634243">
      <w:pPr>
        <w:pStyle w:val="Default"/>
        <w:widowControl w:val="0"/>
        <w:spacing w:before="240"/>
        <w:jc w:val="both"/>
      </w:pPr>
      <w:r w:rsidRPr="00B61114">
        <w:rPr>
          <w:color w:val="auto"/>
        </w:rPr>
        <w:t xml:space="preserve">Para brindar más elementos que permitan determinar la precisión de los datos </w:t>
      </w:r>
      <w:r w:rsidR="00627CBB">
        <w:rPr>
          <w:color w:val="auto"/>
        </w:rPr>
        <w:t xml:space="preserve">que genera la </w:t>
      </w:r>
      <w:proofErr w:type="spellStart"/>
      <w:r w:rsidRPr="00B61114">
        <w:rPr>
          <w:smallCaps/>
          <w:color w:val="auto"/>
        </w:rPr>
        <w:t>emoe</w:t>
      </w:r>
      <w:proofErr w:type="spellEnd"/>
      <w:r w:rsidRPr="00B61114">
        <w:rPr>
          <w:color w:val="auto"/>
        </w:rPr>
        <w:t xml:space="preserve">, el </w:t>
      </w:r>
      <w:proofErr w:type="spellStart"/>
      <w:r w:rsidRPr="00B61114">
        <w:rPr>
          <w:smallCaps/>
          <w:color w:val="auto"/>
        </w:rPr>
        <w:t>inegi</w:t>
      </w:r>
      <w:proofErr w:type="spellEnd"/>
      <w:r w:rsidRPr="00B61114">
        <w:rPr>
          <w:color w:val="auto"/>
        </w:rPr>
        <w:t xml:space="preserve"> publica en su página los indicadores de precisión estadística del </w:t>
      </w:r>
      <w:proofErr w:type="spellStart"/>
      <w:r w:rsidRPr="00B61114">
        <w:rPr>
          <w:smallCaps/>
          <w:color w:val="auto"/>
        </w:rPr>
        <w:t>ipm</w:t>
      </w:r>
      <w:proofErr w:type="spellEnd"/>
      <w:r w:rsidRPr="00B61114">
        <w:rPr>
          <w:color w:val="auto"/>
        </w:rPr>
        <w:t xml:space="preserve">, que son una medida relativa de su exactitud. Para conocer más al respecto, consúltese: </w:t>
      </w:r>
      <w:hyperlink r:id="rId30" w:history="1">
        <w:r w:rsidRPr="00B61114">
          <w:rPr>
            <w:rStyle w:val="Hipervnculo"/>
          </w:rPr>
          <w:t>https://www.inegi.org.mx/programas/emoe/2018/</w:t>
        </w:r>
      </w:hyperlink>
    </w:p>
    <w:p w14:paraId="0E31A4E8" w14:textId="77777777" w:rsidR="00634243" w:rsidRPr="00B61114" w:rsidRDefault="00634243" w:rsidP="00634243">
      <w:pPr>
        <w:pStyle w:val="p0"/>
        <w:keepLines w:val="0"/>
        <w:widowControl/>
        <w:rPr>
          <w:rFonts w:ascii="Arial" w:hAnsi="Arial"/>
          <w:color w:val="auto"/>
          <w:spacing w:val="-2"/>
        </w:rPr>
      </w:pPr>
      <w:r w:rsidRPr="00B61114">
        <w:rPr>
          <w:rFonts w:ascii="Arial" w:hAnsi="Arial"/>
          <w:color w:val="auto"/>
        </w:rPr>
        <w:t xml:space="preserve">La mayoría de las series económicas se ve afectada por factores estacionales: efectos periódicos que se repiten cada año y cuyas causas son ajenas a la naturaleza económica de las series. Estas pueden ser: las festividades, meses más largos que otros, las vacaciones escolares, el clima y otras fluctuaciones, como la elevada producción de juguetes en los </w:t>
      </w:r>
      <w:r w:rsidRPr="00B61114">
        <w:rPr>
          <w:rFonts w:ascii="Arial" w:hAnsi="Arial"/>
          <w:color w:val="auto"/>
          <w:spacing w:val="-2"/>
        </w:rPr>
        <w:t>meses previos a la Navidad.</w:t>
      </w:r>
    </w:p>
    <w:p w14:paraId="21900E88" w14:textId="77777777" w:rsidR="00634243" w:rsidRPr="00B61114" w:rsidRDefault="00634243" w:rsidP="00634243">
      <w:pPr>
        <w:pStyle w:val="p0"/>
        <w:keepLines w:val="0"/>
        <w:widowControl/>
        <w:rPr>
          <w:rFonts w:ascii="Arial" w:hAnsi="Arial"/>
          <w:color w:val="auto"/>
        </w:rPr>
      </w:pPr>
      <w:r w:rsidRPr="00B61114">
        <w:rPr>
          <w:rFonts w:ascii="Arial" w:hAnsi="Arial"/>
          <w:snapToGrid/>
          <w:color w:val="auto"/>
        </w:rPr>
        <w:lastRenderedPageBreak/>
        <w:t xml:space="preserve">La desestacionalización o ajuste estacional de series económicas consiste en remover estas influencias </w:t>
      </w:r>
      <w:proofErr w:type="spellStart"/>
      <w:r w:rsidRPr="00B61114">
        <w:rPr>
          <w:rFonts w:ascii="Arial" w:hAnsi="Arial"/>
          <w:snapToGrid/>
          <w:color w:val="auto"/>
        </w:rPr>
        <w:t>intra-anuales</w:t>
      </w:r>
      <w:proofErr w:type="spellEnd"/>
      <w:r w:rsidRPr="00B61114">
        <w:rPr>
          <w:rFonts w:ascii="Arial" w:hAnsi="Arial"/>
          <w:snapToGrid/>
          <w:color w:val="auto"/>
        </w:rPr>
        <w:t>: su presencia dificulta diagnosticar y describir el comportamiento de una serie económica, pues no permite comparar adecuadamente un determinado mes con el inmediato anterior y, en su caso, incluir un ajuste por los efectos de calendario (como puede ser la frecuencia de los días de la semana, la Semana Santa o el año bisiesto).</w:t>
      </w:r>
      <w:r w:rsidRPr="00B61114">
        <w:rPr>
          <w:rFonts w:ascii="Arial" w:hAnsi="Arial"/>
          <w:szCs w:val="20"/>
        </w:rPr>
        <w:t xml:space="preserve"> </w:t>
      </w:r>
      <w:r w:rsidRPr="00B61114">
        <w:rPr>
          <w:rFonts w:ascii="Arial" w:hAnsi="Arial"/>
          <w:snapToGrid/>
          <w:color w:val="auto"/>
        </w:rPr>
        <w:t>Analizar la serie desestacionalizada ayuda a realizar un mejor diagnóstico y pronóstico de su evolución</w:t>
      </w:r>
      <w:r w:rsidRPr="00B61114">
        <w:rPr>
          <w:rFonts w:ascii="Arial" w:hAnsi="Arial"/>
          <w:color w:val="auto"/>
        </w:rPr>
        <w:t xml:space="preserve">, </w:t>
      </w:r>
      <w:r w:rsidRPr="00B61114">
        <w:rPr>
          <w:rFonts w:ascii="Arial" w:hAnsi="Arial"/>
          <w:snapToGrid/>
          <w:color w:val="auto"/>
        </w:rPr>
        <w:t>ya que</w:t>
      </w:r>
      <w:r w:rsidRPr="00B61114">
        <w:rPr>
          <w:rFonts w:ascii="Arial" w:hAnsi="Arial"/>
          <w:color w:val="auto"/>
        </w:rPr>
        <w:t>, en el corto plazo,</w:t>
      </w:r>
      <w:r w:rsidRPr="00B61114">
        <w:rPr>
          <w:rFonts w:ascii="Arial" w:hAnsi="Arial"/>
          <w:snapToGrid/>
          <w:color w:val="auto"/>
        </w:rPr>
        <w:t xml:space="preserve"> identifica la posible dirección de los movimientos de la variable en cuestión. </w:t>
      </w:r>
    </w:p>
    <w:p w14:paraId="2E8A3E5D" w14:textId="77777777" w:rsidR="00634243" w:rsidRPr="00B61114" w:rsidRDefault="00634243" w:rsidP="00634243">
      <w:pPr>
        <w:widowControl w:val="0"/>
        <w:spacing w:before="240"/>
        <w:rPr>
          <w:szCs w:val="20"/>
        </w:rPr>
      </w:pPr>
      <w:r w:rsidRPr="00B61114">
        <w:rPr>
          <w:szCs w:val="20"/>
        </w:rPr>
        <w:t>Las series originales se ajustan estacionalmente mediante el paquete estadístico X</w:t>
      </w:r>
      <w:r w:rsidRPr="00B61114">
        <w:rPr>
          <w:szCs w:val="20"/>
        </w:rPr>
        <w:noBreakHyphen/>
        <w:t>13ARIMA</w:t>
      </w:r>
      <w:r w:rsidRPr="00B61114">
        <w:rPr>
          <w:szCs w:val="20"/>
        </w:rPr>
        <w:noBreakHyphen/>
        <w:t>SEATS. Para conocer la metodología, consúltese la siguiente liga:</w:t>
      </w:r>
    </w:p>
    <w:p w14:paraId="08875027" w14:textId="77777777" w:rsidR="00634243" w:rsidRPr="00B61114" w:rsidRDefault="00F46ACA" w:rsidP="00634243">
      <w:pPr>
        <w:widowControl w:val="0"/>
        <w:rPr>
          <w:rStyle w:val="Hipervnculo"/>
          <w:color w:val="auto"/>
        </w:rPr>
      </w:pPr>
      <w:hyperlink r:id="rId31" w:history="1">
        <w:r w:rsidR="00634243" w:rsidRPr="00B61114">
          <w:rPr>
            <w:rStyle w:val="Hipervnculo"/>
          </w:rPr>
          <w:t>https://www.inegi.org.mx/app/biblioteca/ficha.html?upc=702825099060</w:t>
        </w:r>
      </w:hyperlink>
      <w:r w:rsidR="00634243" w:rsidRPr="00B61114">
        <w:rPr>
          <w:rStyle w:val="Hipervnculo"/>
          <w:color w:val="auto"/>
        </w:rPr>
        <w:t xml:space="preserve"> </w:t>
      </w:r>
    </w:p>
    <w:p w14:paraId="4A1A9DE4" w14:textId="77777777" w:rsidR="00634243" w:rsidRPr="00B61114" w:rsidRDefault="00634243" w:rsidP="00634243">
      <w:pPr>
        <w:widowControl w:val="0"/>
        <w:autoSpaceDE w:val="0"/>
        <w:autoSpaceDN w:val="0"/>
        <w:adjustRightInd w:val="0"/>
        <w:spacing w:before="240"/>
      </w:pPr>
      <w:r w:rsidRPr="00B61114">
        <w:rPr>
          <w:noProof/>
          <w:sz w:val="18"/>
          <w:szCs w:val="18"/>
          <w:lang w:val="es-MX" w:eastAsia="es-MX"/>
        </w:rPr>
        <w:drawing>
          <wp:anchor distT="0" distB="0" distL="36195" distR="36195" simplePos="0" relativeHeight="251659264" behindDoc="0" locked="0" layoutInCell="1" allowOverlap="1" wp14:anchorId="3D9F69F5" wp14:editId="4DD3052C">
            <wp:simplePos x="0" y="0"/>
            <wp:positionH relativeFrom="margin">
              <wp:posOffset>6221920</wp:posOffset>
            </wp:positionH>
            <wp:positionV relativeFrom="paragraph">
              <wp:posOffset>525145</wp:posOffset>
            </wp:positionV>
            <wp:extent cx="144000" cy="144000"/>
            <wp:effectExtent l="0" t="0" r="8890" b="8890"/>
            <wp:wrapSquare wrapText="bothSides"/>
            <wp:docPr id="33" name="Picture 33"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1114">
        <w:t xml:space="preserve">Las especificaciones de los modelos utilizados para realizar el ajuste estacional están </w:t>
      </w:r>
      <w:r w:rsidRPr="00B61114">
        <w:rPr>
          <w:spacing w:val="-2"/>
        </w:rPr>
        <w:t>disponibles en el Banco de Información Económica (</w:t>
      </w:r>
      <w:r w:rsidRPr="00B61114">
        <w:rPr>
          <w:smallCaps/>
          <w:spacing w:val="-2"/>
        </w:rPr>
        <w:t>bie</w:t>
      </w:r>
      <w:r w:rsidRPr="00B61114">
        <w:rPr>
          <w:spacing w:val="-2"/>
        </w:rPr>
        <w:t>). Seleccione</w:t>
      </w:r>
      <w:r w:rsidRPr="00B61114">
        <w:rPr>
          <w:spacing w:val="-2"/>
          <w:szCs w:val="20"/>
        </w:rPr>
        <w:t xml:space="preserve"> </w:t>
      </w:r>
      <w:r w:rsidRPr="00B61114">
        <w:rPr>
          <w:spacing w:val="-2"/>
        </w:rPr>
        <w:t>«Indicadores económicos de coyuntura, Encuesta Mensual de Opinión Empresarial</w:t>
      </w:r>
      <w:r w:rsidRPr="00B61114">
        <w:rPr>
          <w:spacing w:val="-2"/>
          <w:szCs w:val="20"/>
        </w:rPr>
        <w:t>»</w:t>
      </w:r>
      <w:r w:rsidRPr="00B61114">
        <w:rPr>
          <w:spacing w:val="-2"/>
        </w:rPr>
        <w:t xml:space="preserve"> y vaya al </w:t>
      </w:r>
      <w:r w:rsidRPr="00B61114">
        <w:t>i</w:t>
      </w:r>
      <w:r w:rsidRPr="00B61114">
        <w:rPr>
          <w:spacing w:val="-2"/>
        </w:rPr>
        <w:t>cono de información</w:t>
      </w:r>
      <w:r w:rsidRPr="00B61114">
        <w:t xml:space="preserve"> </w:t>
      </w:r>
      <w:r w:rsidRPr="00B61114">
        <w:rPr>
          <w:spacing w:val="-2"/>
        </w:rPr>
        <w:t>correspondiente a las «series desestacionalizadas y de tendencia-ciclo»</w:t>
      </w:r>
      <w:r w:rsidRPr="00B61114">
        <w:rPr>
          <w:spacing w:val="-2"/>
          <w:szCs w:val="20"/>
        </w:rPr>
        <w:t>.</w:t>
      </w:r>
    </w:p>
    <w:p w14:paraId="7A2816BB" w14:textId="17D05B95" w:rsidR="00634243" w:rsidRPr="00B61114" w:rsidRDefault="00634243" w:rsidP="00634243">
      <w:pPr>
        <w:widowControl w:val="0"/>
        <w:autoSpaceDE w:val="0"/>
        <w:autoSpaceDN w:val="0"/>
        <w:adjustRightInd w:val="0"/>
        <w:spacing w:before="240"/>
      </w:pPr>
      <w:r w:rsidRPr="00B61114">
        <w:t xml:space="preserve">Mediante la </w:t>
      </w:r>
      <w:proofErr w:type="spellStart"/>
      <w:r w:rsidRPr="00B61114">
        <w:rPr>
          <w:smallCaps/>
        </w:rPr>
        <w:t>emoe</w:t>
      </w:r>
      <w:proofErr w:type="spellEnd"/>
      <w:r w:rsidRPr="00B61114">
        <w:t xml:space="preserve">, el </w:t>
      </w:r>
      <w:proofErr w:type="spellStart"/>
      <w:r w:rsidRPr="00B61114">
        <w:rPr>
          <w:smallCaps/>
        </w:rPr>
        <w:t>inegi</w:t>
      </w:r>
      <w:proofErr w:type="spellEnd"/>
      <w:r w:rsidRPr="00B61114">
        <w:t xml:space="preserve"> genera la información contenida en este documento. Esta se complementa con la que proporcionan los Indicadores de Confianza Empresarial </w:t>
      </w:r>
      <w:r w:rsidR="00AE2470" w:rsidRPr="0070270C">
        <w:t>(</w:t>
      </w:r>
      <w:r w:rsidR="00AE2470" w:rsidRPr="0070270C">
        <w:rPr>
          <w:smallCaps/>
        </w:rPr>
        <w:t>ice</w:t>
      </w:r>
      <w:r w:rsidR="00AE2470" w:rsidRPr="0070270C">
        <w:t>)</w:t>
      </w:r>
      <w:r w:rsidR="00AE2470" w:rsidRPr="00923375">
        <w:t xml:space="preserve"> </w:t>
      </w:r>
      <w:r w:rsidRPr="00923375">
        <w:t>y los Indicadores Agregados de Tendencia</w:t>
      </w:r>
      <w:r w:rsidR="00AE2470" w:rsidRPr="00923375">
        <w:t xml:space="preserve"> </w:t>
      </w:r>
      <w:r w:rsidR="00AE2470" w:rsidRPr="0070270C">
        <w:t>(</w:t>
      </w:r>
      <w:proofErr w:type="spellStart"/>
      <w:r w:rsidR="00AE2470" w:rsidRPr="0070270C">
        <w:rPr>
          <w:smallCaps/>
        </w:rPr>
        <w:t>iat</w:t>
      </w:r>
      <w:proofErr w:type="spellEnd"/>
      <w:r w:rsidR="00AE2470" w:rsidRPr="0070270C">
        <w:t>)</w:t>
      </w:r>
      <w:r w:rsidRPr="00923375">
        <w:t>. El Instituto la da a c</w:t>
      </w:r>
      <w:r w:rsidRPr="00B61114">
        <w:t>onocer con base en el Calendario de Difusión de Información Estadística y Geográfica y de Interés Nacional.</w:t>
      </w:r>
    </w:p>
    <w:p w14:paraId="6EFCFB24" w14:textId="77777777" w:rsidR="00634243" w:rsidRPr="00B61114" w:rsidRDefault="00634243" w:rsidP="00634243">
      <w:pPr>
        <w:pStyle w:val="texto0"/>
        <w:keepLines w:val="0"/>
        <w:widowControl w:val="0"/>
        <w:autoSpaceDE w:val="0"/>
        <w:autoSpaceDN w:val="0"/>
        <w:adjustRightInd w:val="0"/>
        <w:rPr>
          <w:rFonts w:cs="Arial"/>
          <w:color w:val="auto"/>
        </w:rPr>
      </w:pPr>
      <w:r w:rsidRPr="00B61114">
        <w:rPr>
          <w:rFonts w:cs="Arial"/>
          <w:color w:val="auto"/>
        </w:rPr>
        <w:t xml:space="preserve">Las cifras pueden consultarse en la página del </w:t>
      </w:r>
      <w:r w:rsidRPr="00B61114">
        <w:rPr>
          <w:rFonts w:cs="Arial"/>
          <w:smallCaps/>
          <w:color w:val="auto"/>
        </w:rPr>
        <w:t>inegi</w:t>
      </w:r>
      <w:r w:rsidRPr="00B61114">
        <w:rPr>
          <w:rFonts w:cs="Arial"/>
          <w:color w:val="auto"/>
        </w:rPr>
        <w:t xml:space="preserve">, en las siguientes secciones: </w:t>
      </w:r>
    </w:p>
    <w:p w14:paraId="7A3B93FA" w14:textId="068EC416" w:rsidR="00634243" w:rsidRPr="006070B1" w:rsidRDefault="00634243" w:rsidP="00634243">
      <w:pPr>
        <w:pStyle w:val="Default"/>
        <w:contextualSpacing/>
        <w:jc w:val="both"/>
        <w:rPr>
          <w:color w:val="auto"/>
          <w:lang w:val="it-IT"/>
        </w:rPr>
      </w:pPr>
      <w:r w:rsidRPr="006070B1">
        <w:rPr>
          <w:color w:val="auto"/>
          <w:lang w:val="it-IT"/>
        </w:rPr>
        <w:t xml:space="preserve">Tema: </w:t>
      </w:r>
      <w:r w:rsidRPr="006070B1">
        <w:rPr>
          <w:rStyle w:val="Hipervnculo"/>
          <w:lang w:val="it-IT" w:eastAsia="es-ES"/>
        </w:rPr>
        <w:t>https://</w:t>
      </w:r>
      <w:r w:rsidR="000B31D3" w:rsidRPr="000B31D3">
        <w:rPr>
          <w:rStyle w:val="Hipervnculo"/>
          <w:lang w:val="it-IT" w:eastAsia="es-ES"/>
        </w:rPr>
        <w:t>www.inegi.org.mx/temas/pedidosman/</w:t>
      </w:r>
      <w:r w:rsidRPr="006070B1">
        <w:rPr>
          <w:color w:val="auto"/>
          <w:u w:val="single"/>
          <w:lang w:val="it-IT"/>
        </w:rPr>
        <w:t xml:space="preserve"> </w:t>
      </w:r>
    </w:p>
    <w:p w14:paraId="5AA8E06B" w14:textId="77777777" w:rsidR="00634243" w:rsidRDefault="00634243" w:rsidP="00634243">
      <w:pPr>
        <w:pStyle w:val="Default"/>
        <w:spacing w:before="120"/>
        <w:contextualSpacing/>
        <w:jc w:val="both"/>
        <w:rPr>
          <w:rStyle w:val="Hipervnculo"/>
          <w:lang w:val="it-IT" w:eastAsia="es-ES"/>
        </w:rPr>
      </w:pPr>
      <w:r w:rsidRPr="006070B1">
        <w:rPr>
          <w:color w:val="auto"/>
          <w:lang w:val="it-IT"/>
        </w:rPr>
        <w:t>Programa</w:t>
      </w:r>
      <w:r w:rsidRPr="006070B1">
        <w:rPr>
          <w:rStyle w:val="Hipervnculo"/>
          <w:color w:val="auto"/>
          <w:u w:val="none"/>
          <w:lang w:val="it-IT" w:eastAsia="es-ES"/>
        </w:rPr>
        <w:t xml:space="preserve">: </w:t>
      </w:r>
      <w:r w:rsidRPr="006070B1">
        <w:rPr>
          <w:rStyle w:val="Hipervnculo"/>
          <w:lang w:val="it-IT" w:eastAsia="es-ES"/>
        </w:rPr>
        <w:t>https://</w:t>
      </w:r>
      <w:hyperlink r:id="rId34" w:history="1">
        <w:r w:rsidRPr="006070B1">
          <w:rPr>
            <w:rStyle w:val="Hipervnculo"/>
            <w:lang w:val="it-IT" w:eastAsia="es-ES"/>
          </w:rPr>
          <w:t>www.inegi.org.mx/programas/emoe/2018/</w:t>
        </w:r>
      </w:hyperlink>
    </w:p>
    <w:p w14:paraId="42E3BBAA" w14:textId="550F6C68" w:rsidR="00B0189B" w:rsidRPr="006B6A51" w:rsidRDefault="00634243" w:rsidP="005A7E97">
      <w:pPr>
        <w:pStyle w:val="Default"/>
        <w:spacing w:before="120"/>
        <w:contextualSpacing/>
        <w:jc w:val="both"/>
        <w:rPr>
          <w:rStyle w:val="Hipervnculo"/>
          <w:lang w:eastAsia="es-ES"/>
        </w:rPr>
      </w:pPr>
      <w:r w:rsidRPr="006B6A51">
        <w:rPr>
          <w:smallCaps/>
          <w:color w:val="auto"/>
        </w:rPr>
        <w:t>bie</w:t>
      </w:r>
      <w:r w:rsidRPr="006B6A51">
        <w:rPr>
          <w:color w:val="auto"/>
        </w:rPr>
        <w:t xml:space="preserve">: </w:t>
      </w:r>
      <w:hyperlink r:id="rId35" w:history="1">
        <w:r w:rsidRPr="006B6A51">
          <w:rPr>
            <w:rStyle w:val="Hipervnculo"/>
          </w:rPr>
          <w:t>https://www.inegi.org.mx/app/indicadores/?tm=0</w:t>
        </w:r>
      </w:hyperlink>
    </w:p>
    <w:sectPr w:rsidR="00B0189B" w:rsidRPr="006B6A51" w:rsidSect="00154F93">
      <w:headerReference w:type="default" r:id="rId36"/>
      <w:footerReference w:type="default" r:id="rId37"/>
      <w:pgSz w:w="12242" w:h="15842" w:code="1"/>
      <w:pgMar w:top="1134" w:right="1134" w:bottom="1134" w:left="1134" w:header="567" w:footer="39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189EB" w14:textId="77777777" w:rsidR="00F46ACA" w:rsidRDefault="00F46ACA">
      <w:r>
        <w:separator/>
      </w:r>
    </w:p>
  </w:endnote>
  <w:endnote w:type="continuationSeparator" w:id="0">
    <w:p w14:paraId="6E487FDC" w14:textId="77777777" w:rsidR="00F46ACA" w:rsidRDefault="00F46ACA">
      <w:r>
        <w:continuationSeparator/>
      </w:r>
    </w:p>
  </w:endnote>
  <w:endnote w:type="continuationNotice" w:id="1">
    <w:p w14:paraId="27CE1435" w14:textId="77777777" w:rsidR="00F46ACA" w:rsidRDefault="00F46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8EE0" w14:textId="77777777" w:rsidR="005B1901" w:rsidRDefault="005B1901" w:rsidP="005B1901">
    <w:pPr>
      <w:pStyle w:val="Piedepgina"/>
      <w:jc w:val="center"/>
      <w:rPr>
        <w:b/>
        <w:color w:val="003057"/>
        <w:sz w:val="20"/>
      </w:rPr>
    </w:pPr>
  </w:p>
  <w:p w14:paraId="0FA1D263" w14:textId="77777777" w:rsidR="005B1901" w:rsidRPr="00204167" w:rsidRDefault="005B1901" w:rsidP="005B1901">
    <w:pPr>
      <w:pStyle w:val="Piedepgina"/>
      <w:jc w:val="center"/>
      <w:rPr>
        <w:noProof/>
        <w:color w:val="003057"/>
        <w:lang w:eastAsia="es-MX"/>
      </w:rPr>
    </w:pPr>
    <w:bookmarkStart w:id="9" w:name="_Hlk155603245"/>
    <w:r w:rsidRPr="00204167">
      <w:rPr>
        <w:b/>
        <w:color w:val="003057"/>
        <w:sz w:val="20"/>
      </w:rPr>
      <w:t>Comunicación social</w:t>
    </w:r>
    <w:bookmarkEnd w:id="9"/>
  </w:p>
  <w:p w14:paraId="3817A1A9" w14:textId="33B064EC" w:rsidR="00BB375D" w:rsidRPr="005B1901" w:rsidRDefault="00BB375D" w:rsidP="005B1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B416A" w14:textId="77777777" w:rsidR="00F46ACA" w:rsidRDefault="00F46ACA">
      <w:r>
        <w:separator/>
      </w:r>
    </w:p>
  </w:footnote>
  <w:footnote w:type="continuationSeparator" w:id="0">
    <w:p w14:paraId="42A946FA" w14:textId="77777777" w:rsidR="00F46ACA" w:rsidRDefault="00F46ACA">
      <w:r>
        <w:continuationSeparator/>
      </w:r>
    </w:p>
  </w:footnote>
  <w:footnote w:type="continuationNotice" w:id="1">
    <w:p w14:paraId="00614E5C" w14:textId="77777777" w:rsidR="00F46ACA" w:rsidRDefault="00F46ACA"/>
  </w:footnote>
  <w:footnote w:id="2">
    <w:p w14:paraId="163FB7A3" w14:textId="77777777" w:rsidR="00557B4A" w:rsidRPr="00B14BB8" w:rsidRDefault="00557B4A" w:rsidP="00557B4A">
      <w:pPr>
        <w:pStyle w:val="Textonotapie"/>
        <w:ind w:left="142" w:hanging="142"/>
        <w:rPr>
          <w:sz w:val="16"/>
          <w:szCs w:val="16"/>
        </w:rPr>
      </w:pPr>
      <w:r w:rsidRPr="00431A15">
        <w:rPr>
          <w:rStyle w:val="Refdenotaalpie"/>
          <w:sz w:val="16"/>
          <w:szCs w:val="16"/>
        </w:rPr>
        <w:footnoteRef/>
      </w:r>
      <w:r w:rsidRPr="00B14BB8">
        <w:rPr>
          <w:rStyle w:val="Refdenotaalpie"/>
          <w:sz w:val="16"/>
          <w:szCs w:val="16"/>
          <w:vertAlign w:val="baseline"/>
        </w:rPr>
        <w:tab/>
      </w:r>
      <w:r w:rsidRPr="00B14BB8">
        <w:rPr>
          <w:sz w:val="16"/>
          <w:szCs w:val="16"/>
        </w:rPr>
        <w:t>La mayoría de las series económicas se ve afectada por factores estacionales y de calendario</w:t>
      </w:r>
      <w:r>
        <w:rPr>
          <w:sz w:val="16"/>
          <w:szCs w:val="16"/>
        </w:rPr>
        <w:t>. E</w:t>
      </w:r>
      <w:r w:rsidRPr="00B14BB8">
        <w:rPr>
          <w:sz w:val="16"/>
          <w:szCs w:val="16"/>
        </w:rPr>
        <w:t>l ajuste de los datos por dichos factores permite obtener las cifras desestacionalizadas</w:t>
      </w:r>
      <w:r>
        <w:rPr>
          <w:sz w:val="16"/>
          <w:szCs w:val="16"/>
        </w:rPr>
        <w:t>.</w:t>
      </w:r>
      <w:r w:rsidRPr="00B14BB8">
        <w:rPr>
          <w:sz w:val="16"/>
          <w:szCs w:val="16"/>
        </w:rPr>
        <w:t xml:space="preserve"> </w:t>
      </w:r>
      <w:r>
        <w:rPr>
          <w:sz w:val="16"/>
          <w:szCs w:val="16"/>
        </w:rPr>
        <w:t xml:space="preserve">Su </w:t>
      </w:r>
      <w:r w:rsidRPr="00B14BB8">
        <w:rPr>
          <w:sz w:val="16"/>
          <w:szCs w:val="16"/>
        </w:rPr>
        <w:t>análisis ayuda a realizar un mejor diagnóstico de la evolución de las variables.</w:t>
      </w:r>
    </w:p>
  </w:footnote>
  <w:footnote w:id="3">
    <w:p w14:paraId="0397F9BB" w14:textId="289E55D8" w:rsidR="00580BC4" w:rsidRPr="00B14BB8" w:rsidRDefault="00580BC4" w:rsidP="00580BC4">
      <w:pPr>
        <w:pStyle w:val="Textonotapie"/>
        <w:ind w:left="142" w:hanging="142"/>
        <w:rPr>
          <w:sz w:val="16"/>
          <w:szCs w:val="16"/>
        </w:rPr>
      </w:pPr>
      <w:r w:rsidRPr="00431A15">
        <w:rPr>
          <w:rStyle w:val="Refdenotaalpie"/>
          <w:sz w:val="16"/>
          <w:szCs w:val="16"/>
        </w:rPr>
        <w:footnoteRef/>
      </w:r>
      <w:r w:rsidRPr="00B14BB8">
        <w:rPr>
          <w:rStyle w:val="Refdenotaalpie"/>
          <w:sz w:val="16"/>
          <w:szCs w:val="16"/>
          <w:vertAlign w:val="baseline"/>
        </w:rPr>
        <w:tab/>
      </w:r>
      <w:r w:rsidR="00242C5C" w:rsidRPr="00242C5C">
        <w:rPr>
          <w:sz w:val="16"/>
          <w:szCs w:val="16"/>
        </w:rPr>
        <w:t>Tendencia-ciclo es la combinación de los componentes de tendencia y ciclo. La tendencia se refiere a la evolución de largo plazo de la serie de tiempo</w:t>
      </w:r>
      <w:r w:rsidR="00F633B1">
        <w:rPr>
          <w:sz w:val="16"/>
          <w:szCs w:val="16"/>
        </w:rPr>
        <w:t>,</w:t>
      </w:r>
      <w:r w:rsidR="00242C5C" w:rsidRPr="00242C5C">
        <w:rPr>
          <w:sz w:val="16"/>
          <w:szCs w:val="16"/>
        </w:rPr>
        <w:t xml:space="preserve"> y el ciclo, a las desviaciones alrededor de la tendencia</w:t>
      </w:r>
      <w:r w:rsidRPr="00B14BB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49413" w14:textId="77777777" w:rsidR="005B1901" w:rsidRDefault="005B1901" w:rsidP="005B1901">
    <w:r>
      <w:rPr>
        <w:noProof/>
        <w14:ligatures w14:val="standardContextual"/>
      </w:rPr>
      <w:drawing>
        <wp:anchor distT="0" distB="0" distL="114300" distR="114300" simplePos="0" relativeHeight="251659264" behindDoc="0" locked="0" layoutInCell="1" allowOverlap="1" wp14:anchorId="1255AB69" wp14:editId="7B9D86AD">
          <wp:simplePos x="0" y="0"/>
          <wp:positionH relativeFrom="margin">
            <wp:posOffset>-12976</wp:posOffset>
          </wp:positionH>
          <wp:positionV relativeFrom="paragraph">
            <wp:posOffset>-32385</wp:posOffset>
          </wp:positionV>
          <wp:extent cx="1673225" cy="795020"/>
          <wp:effectExtent l="0" t="0" r="3175" b="0"/>
          <wp:wrapSquare wrapText="bothSides"/>
          <wp:docPr id="477815945" name="Imagen 477815945"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67322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A1A798" w14:textId="2A55D11E" w:rsidR="005B1901" w:rsidRPr="00306ECD" w:rsidRDefault="005B1901" w:rsidP="005B1901">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175</w:t>
    </w:r>
    <w:r w:rsidRPr="00306ECD">
      <w:rPr>
        <w:b/>
        <w:color w:val="002060"/>
      </w:rPr>
      <w:t>/2</w:t>
    </w:r>
    <w:r>
      <w:rPr>
        <w:b/>
        <w:color w:val="002060"/>
      </w:rPr>
      <w:t>4</w:t>
    </w:r>
  </w:p>
  <w:p w14:paraId="05A75474" w14:textId="601D8A5C" w:rsidR="005B1901" w:rsidRPr="00306ECD" w:rsidRDefault="005B1901" w:rsidP="005B1901">
    <w:pPr>
      <w:pStyle w:val="Encabezado"/>
      <w:tabs>
        <w:tab w:val="clear" w:pos="4320"/>
        <w:tab w:val="clear" w:pos="8640"/>
      </w:tabs>
      <w:ind w:left="-567" w:right="49"/>
      <w:jc w:val="right"/>
      <w:rPr>
        <w:b/>
        <w:color w:val="002060"/>
        <w:lang w:val="pt-BR"/>
      </w:rPr>
    </w:pPr>
    <w:r>
      <w:rPr>
        <w:b/>
        <w:color w:val="002060"/>
        <w:lang w:val="pt-BR"/>
      </w:rPr>
      <w:t xml:space="preserve">1 de marzo de </w:t>
    </w:r>
    <w:r w:rsidRPr="00306ECD">
      <w:rPr>
        <w:b/>
        <w:color w:val="002060"/>
        <w:lang w:val="pt-BR"/>
      </w:rPr>
      <w:t>202</w:t>
    </w:r>
    <w:r>
      <w:rPr>
        <w:b/>
        <w:color w:val="002060"/>
        <w:lang w:val="pt-BR"/>
      </w:rPr>
      <w:t>4</w:t>
    </w:r>
  </w:p>
  <w:p w14:paraId="7F5F9EA2" w14:textId="472942A4" w:rsidR="005B1901" w:rsidRPr="00F22E89" w:rsidRDefault="005B1901" w:rsidP="005B1901">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sidR="00AD7499">
      <w:rPr>
        <w:b/>
        <w:color w:val="002060"/>
      </w:rPr>
      <w:t>10</w:t>
    </w:r>
  </w:p>
  <w:p w14:paraId="0AE4F15A" w14:textId="7F8A4CE3" w:rsidR="00BB375D" w:rsidRDefault="00BB375D" w:rsidP="00331F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6A2544"/>
    <w:multiLevelType w:val="hybridMultilevel"/>
    <w:tmpl w:val="B36CB9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3" w15:restartNumberingAfterBreak="0">
    <w:nsid w:val="61106F25"/>
    <w:multiLevelType w:val="hybridMultilevel"/>
    <w:tmpl w:val="5DC49C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5"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C863AB"/>
    <w:multiLevelType w:val="hybridMultilevel"/>
    <w:tmpl w:val="B450E64C"/>
    <w:lvl w:ilvl="0" w:tplc="FFFFFFFF">
      <w:start w:val="1"/>
      <w:numFmt w:val="lowerLetter"/>
      <w:lvlText w:val="%1)"/>
      <w:lvlJc w:val="left"/>
      <w:pPr>
        <w:tabs>
          <w:tab w:val="num" w:pos="360"/>
        </w:tabs>
        <w:ind w:left="360" w:hanging="360"/>
      </w:pPr>
      <w:rPr>
        <w:rFonts w:ascii="Arial" w:hAnsi="Arial" w:cs="Times New Roman" w:hint="default"/>
        <w:b w:val="0"/>
        <w:i w:val="0"/>
        <w:sz w:val="18"/>
        <w:szCs w:val="18"/>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37"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8"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9"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41"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4"/>
  </w:num>
  <w:num w:numId="12">
    <w:abstractNumId w:val="40"/>
  </w:num>
  <w:num w:numId="13">
    <w:abstractNumId w:val="42"/>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41"/>
  </w:num>
  <w:num w:numId="22">
    <w:abstractNumId w:val="20"/>
  </w:num>
  <w:num w:numId="23">
    <w:abstractNumId w:val="25"/>
  </w:num>
  <w:num w:numId="24">
    <w:abstractNumId w:val="24"/>
  </w:num>
  <w:num w:numId="25">
    <w:abstractNumId w:val="35"/>
  </w:num>
  <w:num w:numId="26">
    <w:abstractNumId w:val="37"/>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1"/>
  </w:num>
  <w:num w:numId="36">
    <w:abstractNumId w:val="4"/>
  </w:num>
  <w:num w:numId="37">
    <w:abstractNumId w:val="38"/>
  </w:num>
  <w:num w:numId="38">
    <w:abstractNumId w:val="9"/>
  </w:num>
  <w:num w:numId="39">
    <w:abstractNumId w:val="16"/>
  </w:num>
  <w:num w:numId="40">
    <w:abstractNumId w:val="32"/>
  </w:num>
  <w:num w:numId="41">
    <w:abstractNumId w:val="39"/>
  </w:num>
  <w:num w:numId="42">
    <w:abstractNumId w:val="2"/>
  </w:num>
  <w:num w:numId="43">
    <w:abstractNumId w:val="30"/>
  </w:num>
  <w:num w:numId="44">
    <w:abstractNumId w:val="1"/>
  </w:num>
  <w:num w:numId="45">
    <w:abstractNumId w:val="10"/>
  </w:num>
  <w:num w:numId="46">
    <w:abstractNumId w:val="33"/>
  </w:num>
  <w:num w:numId="47">
    <w:abstractNumId w:val="29"/>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6CB"/>
    <w:rsid w:val="0000180F"/>
    <w:rsid w:val="00002466"/>
    <w:rsid w:val="00002665"/>
    <w:rsid w:val="000027BD"/>
    <w:rsid w:val="00002B26"/>
    <w:rsid w:val="00003C25"/>
    <w:rsid w:val="00003C68"/>
    <w:rsid w:val="00004291"/>
    <w:rsid w:val="0000458A"/>
    <w:rsid w:val="000050C6"/>
    <w:rsid w:val="00005940"/>
    <w:rsid w:val="00006459"/>
    <w:rsid w:val="0000681C"/>
    <w:rsid w:val="00006B5A"/>
    <w:rsid w:val="000078B1"/>
    <w:rsid w:val="00007A1A"/>
    <w:rsid w:val="00010A59"/>
    <w:rsid w:val="000112A7"/>
    <w:rsid w:val="0001151F"/>
    <w:rsid w:val="00011840"/>
    <w:rsid w:val="00011AC0"/>
    <w:rsid w:val="00011BD3"/>
    <w:rsid w:val="00012278"/>
    <w:rsid w:val="00012A27"/>
    <w:rsid w:val="00012E16"/>
    <w:rsid w:val="00012E2C"/>
    <w:rsid w:val="0001302A"/>
    <w:rsid w:val="000132A4"/>
    <w:rsid w:val="00013319"/>
    <w:rsid w:val="000135BE"/>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0348"/>
    <w:rsid w:val="00021432"/>
    <w:rsid w:val="00021492"/>
    <w:rsid w:val="000216A3"/>
    <w:rsid w:val="00021B4D"/>
    <w:rsid w:val="000228C4"/>
    <w:rsid w:val="00022CA3"/>
    <w:rsid w:val="000232E3"/>
    <w:rsid w:val="00023C47"/>
    <w:rsid w:val="00024D9C"/>
    <w:rsid w:val="00026046"/>
    <w:rsid w:val="000260EE"/>
    <w:rsid w:val="000262F0"/>
    <w:rsid w:val="00026B3C"/>
    <w:rsid w:val="00026B52"/>
    <w:rsid w:val="00030480"/>
    <w:rsid w:val="0003065F"/>
    <w:rsid w:val="00030919"/>
    <w:rsid w:val="000309CE"/>
    <w:rsid w:val="00030A5F"/>
    <w:rsid w:val="00030D10"/>
    <w:rsid w:val="00031231"/>
    <w:rsid w:val="000314D3"/>
    <w:rsid w:val="00031BCF"/>
    <w:rsid w:val="00031D5E"/>
    <w:rsid w:val="000324BB"/>
    <w:rsid w:val="00032B16"/>
    <w:rsid w:val="00033603"/>
    <w:rsid w:val="00033A14"/>
    <w:rsid w:val="00034417"/>
    <w:rsid w:val="0003447A"/>
    <w:rsid w:val="00034A4B"/>
    <w:rsid w:val="00034BC3"/>
    <w:rsid w:val="000353F3"/>
    <w:rsid w:val="00035600"/>
    <w:rsid w:val="00035B2D"/>
    <w:rsid w:val="00035DA7"/>
    <w:rsid w:val="00036D72"/>
    <w:rsid w:val="00037089"/>
    <w:rsid w:val="00037177"/>
    <w:rsid w:val="000371E9"/>
    <w:rsid w:val="00037CC4"/>
    <w:rsid w:val="0004066E"/>
    <w:rsid w:val="00040F75"/>
    <w:rsid w:val="00041FF7"/>
    <w:rsid w:val="0004225C"/>
    <w:rsid w:val="0004266F"/>
    <w:rsid w:val="000427CA"/>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256"/>
    <w:rsid w:val="00050934"/>
    <w:rsid w:val="00050AF0"/>
    <w:rsid w:val="00050FB5"/>
    <w:rsid w:val="00051C72"/>
    <w:rsid w:val="00051D1C"/>
    <w:rsid w:val="00051D9E"/>
    <w:rsid w:val="00052487"/>
    <w:rsid w:val="00052F04"/>
    <w:rsid w:val="00052F1E"/>
    <w:rsid w:val="000536D2"/>
    <w:rsid w:val="00053B2C"/>
    <w:rsid w:val="00053EB7"/>
    <w:rsid w:val="000546E8"/>
    <w:rsid w:val="00054827"/>
    <w:rsid w:val="00054A4F"/>
    <w:rsid w:val="00055047"/>
    <w:rsid w:val="0005517D"/>
    <w:rsid w:val="000558E0"/>
    <w:rsid w:val="00055B54"/>
    <w:rsid w:val="000566C9"/>
    <w:rsid w:val="000568E2"/>
    <w:rsid w:val="00056E28"/>
    <w:rsid w:val="00056F51"/>
    <w:rsid w:val="0005712F"/>
    <w:rsid w:val="000573F5"/>
    <w:rsid w:val="00057F37"/>
    <w:rsid w:val="000602B0"/>
    <w:rsid w:val="0006056C"/>
    <w:rsid w:val="0006065A"/>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A84"/>
    <w:rsid w:val="00066EA7"/>
    <w:rsid w:val="00066FDE"/>
    <w:rsid w:val="0006789C"/>
    <w:rsid w:val="0007012A"/>
    <w:rsid w:val="0007017F"/>
    <w:rsid w:val="00070431"/>
    <w:rsid w:val="0007074A"/>
    <w:rsid w:val="000707D5"/>
    <w:rsid w:val="000707FF"/>
    <w:rsid w:val="00070864"/>
    <w:rsid w:val="00070A79"/>
    <w:rsid w:val="0007145A"/>
    <w:rsid w:val="00071F33"/>
    <w:rsid w:val="00072117"/>
    <w:rsid w:val="000724D0"/>
    <w:rsid w:val="000725AC"/>
    <w:rsid w:val="00072862"/>
    <w:rsid w:val="00072B18"/>
    <w:rsid w:val="000730F3"/>
    <w:rsid w:val="00073491"/>
    <w:rsid w:val="00073604"/>
    <w:rsid w:val="000739D2"/>
    <w:rsid w:val="00073EF4"/>
    <w:rsid w:val="000744E7"/>
    <w:rsid w:val="000753EC"/>
    <w:rsid w:val="00075419"/>
    <w:rsid w:val="0007567F"/>
    <w:rsid w:val="00075B3A"/>
    <w:rsid w:val="00075DEC"/>
    <w:rsid w:val="0007610D"/>
    <w:rsid w:val="0007613F"/>
    <w:rsid w:val="00076234"/>
    <w:rsid w:val="000763B1"/>
    <w:rsid w:val="0007670F"/>
    <w:rsid w:val="000767F7"/>
    <w:rsid w:val="00076D57"/>
    <w:rsid w:val="00076EE9"/>
    <w:rsid w:val="00077C46"/>
    <w:rsid w:val="0008027F"/>
    <w:rsid w:val="000807D1"/>
    <w:rsid w:val="0008084D"/>
    <w:rsid w:val="000814ED"/>
    <w:rsid w:val="0008169C"/>
    <w:rsid w:val="0008175A"/>
    <w:rsid w:val="0008191E"/>
    <w:rsid w:val="0008195B"/>
    <w:rsid w:val="000826F7"/>
    <w:rsid w:val="0008271A"/>
    <w:rsid w:val="000829E9"/>
    <w:rsid w:val="00082F11"/>
    <w:rsid w:val="0008325D"/>
    <w:rsid w:val="000834DD"/>
    <w:rsid w:val="00084687"/>
    <w:rsid w:val="00084A57"/>
    <w:rsid w:val="00084BED"/>
    <w:rsid w:val="00084EDB"/>
    <w:rsid w:val="00084FF2"/>
    <w:rsid w:val="0008524D"/>
    <w:rsid w:val="000855FB"/>
    <w:rsid w:val="000856E9"/>
    <w:rsid w:val="00086295"/>
    <w:rsid w:val="0008756B"/>
    <w:rsid w:val="00087DB7"/>
    <w:rsid w:val="0009025D"/>
    <w:rsid w:val="000906D2"/>
    <w:rsid w:val="000909B7"/>
    <w:rsid w:val="00090B3F"/>
    <w:rsid w:val="00090B9C"/>
    <w:rsid w:val="00090BE6"/>
    <w:rsid w:val="00090D7B"/>
    <w:rsid w:val="00091474"/>
    <w:rsid w:val="000915F7"/>
    <w:rsid w:val="00091951"/>
    <w:rsid w:val="00092764"/>
    <w:rsid w:val="0009292F"/>
    <w:rsid w:val="00092F4C"/>
    <w:rsid w:val="00093628"/>
    <w:rsid w:val="00093F8A"/>
    <w:rsid w:val="000941EB"/>
    <w:rsid w:val="00094496"/>
    <w:rsid w:val="00094CAC"/>
    <w:rsid w:val="000950E7"/>
    <w:rsid w:val="000951E9"/>
    <w:rsid w:val="00095360"/>
    <w:rsid w:val="000955AA"/>
    <w:rsid w:val="000957BC"/>
    <w:rsid w:val="000962EE"/>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77A"/>
    <w:rsid w:val="000A49ED"/>
    <w:rsid w:val="000A52A2"/>
    <w:rsid w:val="000A53E6"/>
    <w:rsid w:val="000A574B"/>
    <w:rsid w:val="000A5B04"/>
    <w:rsid w:val="000A5E2A"/>
    <w:rsid w:val="000A643B"/>
    <w:rsid w:val="000A6E0E"/>
    <w:rsid w:val="000A707A"/>
    <w:rsid w:val="000A78BA"/>
    <w:rsid w:val="000A7953"/>
    <w:rsid w:val="000A7D02"/>
    <w:rsid w:val="000A7ED5"/>
    <w:rsid w:val="000B0710"/>
    <w:rsid w:val="000B0CAE"/>
    <w:rsid w:val="000B112E"/>
    <w:rsid w:val="000B1545"/>
    <w:rsid w:val="000B1C11"/>
    <w:rsid w:val="000B1D13"/>
    <w:rsid w:val="000B29B8"/>
    <w:rsid w:val="000B2A27"/>
    <w:rsid w:val="000B31D3"/>
    <w:rsid w:val="000B4A6A"/>
    <w:rsid w:val="000B4FCF"/>
    <w:rsid w:val="000B50F9"/>
    <w:rsid w:val="000B50FB"/>
    <w:rsid w:val="000B515D"/>
    <w:rsid w:val="000B5A74"/>
    <w:rsid w:val="000B5DD7"/>
    <w:rsid w:val="000B5FA3"/>
    <w:rsid w:val="000B6AF6"/>
    <w:rsid w:val="000C0039"/>
    <w:rsid w:val="000C0F67"/>
    <w:rsid w:val="000C1051"/>
    <w:rsid w:val="000C1F04"/>
    <w:rsid w:val="000C2892"/>
    <w:rsid w:val="000C2B3C"/>
    <w:rsid w:val="000C30D7"/>
    <w:rsid w:val="000C3105"/>
    <w:rsid w:val="000C3141"/>
    <w:rsid w:val="000C34DD"/>
    <w:rsid w:val="000C37BC"/>
    <w:rsid w:val="000C482F"/>
    <w:rsid w:val="000C4903"/>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1735"/>
    <w:rsid w:val="000D27B6"/>
    <w:rsid w:val="000D28A5"/>
    <w:rsid w:val="000D31A6"/>
    <w:rsid w:val="000D31C1"/>
    <w:rsid w:val="000D36B2"/>
    <w:rsid w:val="000D39FD"/>
    <w:rsid w:val="000D4313"/>
    <w:rsid w:val="000D4833"/>
    <w:rsid w:val="000D49D2"/>
    <w:rsid w:val="000D4A88"/>
    <w:rsid w:val="000D4BBC"/>
    <w:rsid w:val="000D4D90"/>
    <w:rsid w:val="000D4DB1"/>
    <w:rsid w:val="000D4E26"/>
    <w:rsid w:val="000D5050"/>
    <w:rsid w:val="000D5176"/>
    <w:rsid w:val="000D55AE"/>
    <w:rsid w:val="000D5EDB"/>
    <w:rsid w:val="000D6221"/>
    <w:rsid w:val="000D6A1E"/>
    <w:rsid w:val="000D6C0F"/>
    <w:rsid w:val="000D6F1E"/>
    <w:rsid w:val="000D7439"/>
    <w:rsid w:val="000D7A95"/>
    <w:rsid w:val="000D7BBD"/>
    <w:rsid w:val="000E03C0"/>
    <w:rsid w:val="000E0654"/>
    <w:rsid w:val="000E1025"/>
    <w:rsid w:val="000E16E7"/>
    <w:rsid w:val="000E19B3"/>
    <w:rsid w:val="000E1B2B"/>
    <w:rsid w:val="000E2970"/>
    <w:rsid w:val="000E2D35"/>
    <w:rsid w:val="000E3386"/>
    <w:rsid w:val="000E341D"/>
    <w:rsid w:val="000E3CC1"/>
    <w:rsid w:val="000E414F"/>
    <w:rsid w:val="000E44F0"/>
    <w:rsid w:val="000E478B"/>
    <w:rsid w:val="000E4EFB"/>
    <w:rsid w:val="000E5331"/>
    <w:rsid w:val="000E5526"/>
    <w:rsid w:val="000E5969"/>
    <w:rsid w:val="000E5D6B"/>
    <w:rsid w:val="000E5FE0"/>
    <w:rsid w:val="000E6D5D"/>
    <w:rsid w:val="000E716F"/>
    <w:rsid w:val="000E7775"/>
    <w:rsid w:val="000E7974"/>
    <w:rsid w:val="000E7D75"/>
    <w:rsid w:val="000F05D5"/>
    <w:rsid w:val="000F14F0"/>
    <w:rsid w:val="000F1DEB"/>
    <w:rsid w:val="000F2358"/>
    <w:rsid w:val="000F27D0"/>
    <w:rsid w:val="000F2A09"/>
    <w:rsid w:val="000F2CB7"/>
    <w:rsid w:val="000F3491"/>
    <w:rsid w:val="000F3DE6"/>
    <w:rsid w:val="000F44E7"/>
    <w:rsid w:val="000F49F1"/>
    <w:rsid w:val="000F4C41"/>
    <w:rsid w:val="000F4FA7"/>
    <w:rsid w:val="000F536A"/>
    <w:rsid w:val="000F541D"/>
    <w:rsid w:val="000F55A5"/>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3BF5"/>
    <w:rsid w:val="00105234"/>
    <w:rsid w:val="001052E2"/>
    <w:rsid w:val="00105317"/>
    <w:rsid w:val="00105689"/>
    <w:rsid w:val="00105E2B"/>
    <w:rsid w:val="0010619C"/>
    <w:rsid w:val="0010664D"/>
    <w:rsid w:val="00106792"/>
    <w:rsid w:val="00107DBF"/>
    <w:rsid w:val="00110510"/>
    <w:rsid w:val="0011076D"/>
    <w:rsid w:val="00110DB1"/>
    <w:rsid w:val="00110DF0"/>
    <w:rsid w:val="001114D0"/>
    <w:rsid w:val="00111703"/>
    <w:rsid w:val="00111AA3"/>
    <w:rsid w:val="00111F29"/>
    <w:rsid w:val="001122F8"/>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C36"/>
    <w:rsid w:val="00116F84"/>
    <w:rsid w:val="00117CD9"/>
    <w:rsid w:val="00117D7A"/>
    <w:rsid w:val="00120112"/>
    <w:rsid w:val="001207B0"/>
    <w:rsid w:val="00120EA1"/>
    <w:rsid w:val="0012181E"/>
    <w:rsid w:val="00121D48"/>
    <w:rsid w:val="00122048"/>
    <w:rsid w:val="00122813"/>
    <w:rsid w:val="001228A0"/>
    <w:rsid w:val="00123E9C"/>
    <w:rsid w:val="00123EFF"/>
    <w:rsid w:val="00123F4A"/>
    <w:rsid w:val="001241F7"/>
    <w:rsid w:val="00124D1A"/>
    <w:rsid w:val="001251AF"/>
    <w:rsid w:val="00125440"/>
    <w:rsid w:val="00125654"/>
    <w:rsid w:val="00125C65"/>
    <w:rsid w:val="00125D0D"/>
    <w:rsid w:val="00125D9D"/>
    <w:rsid w:val="001263E8"/>
    <w:rsid w:val="00127810"/>
    <w:rsid w:val="00127CCF"/>
    <w:rsid w:val="001301E6"/>
    <w:rsid w:val="001304F2"/>
    <w:rsid w:val="00130991"/>
    <w:rsid w:val="00130C4C"/>
    <w:rsid w:val="00130CBD"/>
    <w:rsid w:val="001313EB"/>
    <w:rsid w:val="0013154F"/>
    <w:rsid w:val="0013193A"/>
    <w:rsid w:val="0013222E"/>
    <w:rsid w:val="00133034"/>
    <w:rsid w:val="00133C48"/>
    <w:rsid w:val="00134904"/>
    <w:rsid w:val="001349AB"/>
    <w:rsid w:val="00134F4E"/>
    <w:rsid w:val="00134FB0"/>
    <w:rsid w:val="001350AC"/>
    <w:rsid w:val="001352EC"/>
    <w:rsid w:val="00135B5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427E"/>
    <w:rsid w:val="00145F65"/>
    <w:rsid w:val="001460E0"/>
    <w:rsid w:val="00146902"/>
    <w:rsid w:val="00146DFA"/>
    <w:rsid w:val="00147339"/>
    <w:rsid w:val="0015018D"/>
    <w:rsid w:val="00150228"/>
    <w:rsid w:val="001502C3"/>
    <w:rsid w:val="001504E8"/>
    <w:rsid w:val="00150536"/>
    <w:rsid w:val="0015069B"/>
    <w:rsid w:val="00150FC4"/>
    <w:rsid w:val="00151D3F"/>
    <w:rsid w:val="001533A4"/>
    <w:rsid w:val="001533B2"/>
    <w:rsid w:val="001534CA"/>
    <w:rsid w:val="0015369A"/>
    <w:rsid w:val="0015386A"/>
    <w:rsid w:val="001540F9"/>
    <w:rsid w:val="00154E90"/>
    <w:rsid w:val="00154F93"/>
    <w:rsid w:val="001557A9"/>
    <w:rsid w:val="00155878"/>
    <w:rsid w:val="0015599D"/>
    <w:rsid w:val="00155A36"/>
    <w:rsid w:val="00156D7F"/>
    <w:rsid w:val="0015755C"/>
    <w:rsid w:val="001600C9"/>
    <w:rsid w:val="00160308"/>
    <w:rsid w:val="0016052B"/>
    <w:rsid w:val="00160695"/>
    <w:rsid w:val="00160957"/>
    <w:rsid w:val="00160B56"/>
    <w:rsid w:val="0016159C"/>
    <w:rsid w:val="001615A4"/>
    <w:rsid w:val="00161833"/>
    <w:rsid w:val="00161E62"/>
    <w:rsid w:val="00162797"/>
    <w:rsid w:val="00162A20"/>
    <w:rsid w:val="00162FB8"/>
    <w:rsid w:val="00164039"/>
    <w:rsid w:val="00164CD1"/>
    <w:rsid w:val="001651A2"/>
    <w:rsid w:val="001655BD"/>
    <w:rsid w:val="00165810"/>
    <w:rsid w:val="00165E36"/>
    <w:rsid w:val="00165F21"/>
    <w:rsid w:val="0016614B"/>
    <w:rsid w:val="001665FD"/>
    <w:rsid w:val="00167073"/>
    <w:rsid w:val="00167130"/>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0BD"/>
    <w:rsid w:val="00173309"/>
    <w:rsid w:val="0017357E"/>
    <w:rsid w:val="001735A8"/>
    <w:rsid w:val="00173881"/>
    <w:rsid w:val="00173D64"/>
    <w:rsid w:val="001740E5"/>
    <w:rsid w:val="00174587"/>
    <w:rsid w:val="001746C4"/>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77E73"/>
    <w:rsid w:val="00180143"/>
    <w:rsid w:val="00180887"/>
    <w:rsid w:val="00180A83"/>
    <w:rsid w:val="001813AB"/>
    <w:rsid w:val="001819C6"/>
    <w:rsid w:val="00181B78"/>
    <w:rsid w:val="00181D06"/>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EC2"/>
    <w:rsid w:val="00195F99"/>
    <w:rsid w:val="0019786E"/>
    <w:rsid w:val="00197F10"/>
    <w:rsid w:val="001A016C"/>
    <w:rsid w:val="001A0422"/>
    <w:rsid w:val="001A0556"/>
    <w:rsid w:val="001A102F"/>
    <w:rsid w:val="001A18BA"/>
    <w:rsid w:val="001A1A27"/>
    <w:rsid w:val="001A1ED0"/>
    <w:rsid w:val="001A2F07"/>
    <w:rsid w:val="001A3141"/>
    <w:rsid w:val="001A346C"/>
    <w:rsid w:val="001A35A6"/>
    <w:rsid w:val="001A368A"/>
    <w:rsid w:val="001A3963"/>
    <w:rsid w:val="001A41DF"/>
    <w:rsid w:val="001A43F5"/>
    <w:rsid w:val="001A4E0E"/>
    <w:rsid w:val="001A4E3C"/>
    <w:rsid w:val="001A4E8C"/>
    <w:rsid w:val="001A4EF7"/>
    <w:rsid w:val="001A4F0A"/>
    <w:rsid w:val="001A4F6E"/>
    <w:rsid w:val="001A50CE"/>
    <w:rsid w:val="001A5ABD"/>
    <w:rsid w:val="001A5CAF"/>
    <w:rsid w:val="001A5CE0"/>
    <w:rsid w:val="001A60E2"/>
    <w:rsid w:val="001A69F0"/>
    <w:rsid w:val="001A762D"/>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B75"/>
    <w:rsid w:val="001B4F75"/>
    <w:rsid w:val="001B552E"/>
    <w:rsid w:val="001B5CA7"/>
    <w:rsid w:val="001B5DDB"/>
    <w:rsid w:val="001B62D3"/>
    <w:rsid w:val="001B6E4A"/>
    <w:rsid w:val="001B6FFD"/>
    <w:rsid w:val="001B71B9"/>
    <w:rsid w:val="001B74F4"/>
    <w:rsid w:val="001B75DC"/>
    <w:rsid w:val="001C0136"/>
    <w:rsid w:val="001C0A6E"/>
    <w:rsid w:val="001C0AD1"/>
    <w:rsid w:val="001C0BCC"/>
    <w:rsid w:val="001C117D"/>
    <w:rsid w:val="001C1F9C"/>
    <w:rsid w:val="001C226A"/>
    <w:rsid w:val="001C2303"/>
    <w:rsid w:val="001C236E"/>
    <w:rsid w:val="001C2619"/>
    <w:rsid w:val="001C29E7"/>
    <w:rsid w:val="001C32C6"/>
    <w:rsid w:val="001C359A"/>
    <w:rsid w:val="001C3994"/>
    <w:rsid w:val="001C3E2D"/>
    <w:rsid w:val="001C48C7"/>
    <w:rsid w:val="001C4A9E"/>
    <w:rsid w:val="001C5C62"/>
    <w:rsid w:val="001C61B8"/>
    <w:rsid w:val="001C6CAB"/>
    <w:rsid w:val="001C6CC1"/>
    <w:rsid w:val="001C7130"/>
    <w:rsid w:val="001C7E70"/>
    <w:rsid w:val="001D0068"/>
    <w:rsid w:val="001D01C6"/>
    <w:rsid w:val="001D03EF"/>
    <w:rsid w:val="001D050C"/>
    <w:rsid w:val="001D092F"/>
    <w:rsid w:val="001D0DEB"/>
    <w:rsid w:val="001D169C"/>
    <w:rsid w:val="001D1A72"/>
    <w:rsid w:val="001D1AEF"/>
    <w:rsid w:val="001D2426"/>
    <w:rsid w:val="001D244E"/>
    <w:rsid w:val="001D24F1"/>
    <w:rsid w:val="001D3AD1"/>
    <w:rsid w:val="001D478B"/>
    <w:rsid w:val="001D4970"/>
    <w:rsid w:val="001D5C15"/>
    <w:rsid w:val="001D5D5D"/>
    <w:rsid w:val="001D5E02"/>
    <w:rsid w:val="001D5F02"/>
    <w:rsid w:val="001D6186"/>
    <w:rsid w:val="001D62AF"/>
    <w:rsid w:val="001D633D"/>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C2F"/>
    <w:rsid w:val="001F1D9A"/>
    <w:rsid w:val="001F1DC9"/>
    <w:rsid w:val="001F22E3"/>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575"/>
    <w:rsid w:val="001F7AE9"/>
    <w:rsid w:val="001F7CFD"/>
    <w:rsid w:val="00200A53"/>
    <w:rsid w:val="00200D78"/>
    <w:rsid w:val="002011D5"/>
    <w:rsid w:val="00201C2D"/>
    <w:rsid w:val="00202333"/>
    <w:rsid w:val="00202AB9"/>
    <w:rsid w:val="00203367"/>
    <w:rsid w:val="0020356E"/>
    <w:rsid w:val="00204438"/>
    <w:rsid w:val="00204A44"/>
    <w:rsid w:val="002058E6"/>
    <w:rsid w:val="00205E52"/>
    <w:rsid w:val="00206147"/>
    <w:rsid w:val="002064F3"/>
    <w:rsid w:val="002069A8"/>
    <w:rsid w:val="00206EE7"/>
    <w:rsid w:val="0020789A"/>
    <w:rsid w:val="00207C83"/>
    <w:rsid w:val="0021037A"/>
    <w:rsid w:val="00210869"/>
    <w:rsid w:val="002116AD"/>
    <w:rsid w:val="00211999"/>
    <w:rsid w:val="002123A4"/>
    <w:rsid w:val="00212504"/>
    <w:rsid w:val="002126CD"/>
    <w:rsid w:val="0021347E"/>
    <w:rsid w:val="00213773"/>
    <w:rsid w:val="0021385B"/>
    <w:rsid w:val="00213B0E"/>
    <w:rsid w:val="00213CBC"/>
    <w:rsid w:val="002141FB"/>
    <w:rsid w:val="002146CA"/>
    <w:rsid w:val="002147D6"/>
    <w:rsid w:val="00214D23"/>
    <w:rsid w:val="00214DA1"/>
    <w:rsid w:val="00215268"/>
    <w:rsid w:val="002152B1"/>
    <w:rsid w:val="0021575B"/>
    <w:rsid w:val="00215783"/>
    <w:rsid w:val="002162C2"/>
    <w:rsid w:val="0021634C"/>
    <w:rsid w:val="0021669B"/>
    <w:rsid w:val="00216876"/>
    <w:rsid w:val="00216B9E"/>
    <w:rsid w:val="00217137"/>
    <w:rsid w:val="0022018A"/>
    <w:rsid w:val="002203C7"/>
    <w:rsid w:val="00220ADA"/>
    <w:rsid w:val="00220B7B"/>
    <w:rsid w:val="0022180E"/>
    <w:rsid w:val="00221A60"/>
    <w:rsid w:val="002220BA"/>
    <w:rsid w:val="00222385"/>
    <w:rsid w:val="002227B3"/>
    <w:rsid w:val="00222CE3"/>
    <w:rsid w:val="002235D7"/>
    <w:rsid w:val="002239C4"/>
    <w:rsid w:val="00223FAF"/>
    <w:rsid w:val="00224415"/>
    <w:rsid w:val="00224617"/>
    <w:rsid w:val="002246E2"/>
    <w:rsid w:val="00225325"/>
    <w:rsid w:val="00225591"/>
    <w:rsid w:val="00225690"/>
    <w:rsid w:val="0022574F"/>
    <w:rsid w:val="00225853"/>
    <w:rsid w:val="0022593A"/>
    <w:rsid w:val="00225A2D"/>
    <w:rsid w:val="00225B52"/>
    <w:rsid w:val="00225CE3"/>
    <w:rsid w:val="00225D4B"/>
    <w:rsid w:val="002260D7"/>
    <w:rsid w:val="002262D4"/>
    <w:rsid w:val="00226B17"/>
    <w:rsid w:val="00226E02"/>
    <w:rsid w:val="0022712B"/>
    <w:rsid w:val="0022743C"/>
    <w:rsid w:val="002276A4"/>
    <w:rsid w:val="002277BE"/>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94C"/>
    <w:rsid w:val="00237D7D"/>
    <w:rsid w:val="002404D1"/>
    <w:rsid w:val="002405C8"/>
    <w:rsid w:val="00240ECB"/>
    <w:rsid w:val="002415DA"/>
    <w:rsid w:val="0024171E"/>
    <w:rsid w:val="00241857"/>
    <w:rsid w:val="00241DAA"/>
    <w:rsid w:val="0024285E"/>
    <w:rsid w:val="00242C5C"/>
    <w:rsid w:val="00242F79"/>
    <w:rsid w:val="00242FA8"/>
    <w:rsid w:val="0024310E"/>
    <w:rsid w:val="00243204"/>
    <w:rsid w:val="00243AC5"/>
    <w:rsid w:val="0024405D"/>
    <w:rsid w:val="00244516"/>
    <w:rsid w:val="00244CF8"/>
    <w:rsid w:val="002454F0"/>
    <w:rsid w:val="002458EE"/>
    <w:rsid w:val="0024593E"/>
    <w:rsid w:val="00245B9E"/>
    <w:rsid w:val="002465AC"/>
    <w:rsid w:val="002465EC"/>
    <w:rsid w:val="00246614"/>
    <w:rsid w:val="00246907"/>
    <w:rsid w:val="00246C0E"/>
    <w:rsid w:val="00246D4B"/>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6E"/>
    <w:rsid w:val="00255D8E"/>
    <w:rsid w:val="0025614A"/>
    <w:rsid w:val="00256584"/>
    <w:rsid w:val="0025659B"/>
    <w:rsid w:val="00256C48"/>
    <w:rsid w:val="00256EF8"/>
    <w:rsid w:val="002570D5"/>
    <w:rsid w:val="00257177"/>
    <w:rsid w:val="00257730"/>
    <w:rsid w:val="00257803"/>
    <w:rsid w:val="00257B74"/>
    <w:rsid w:val="00257BAE"/>
    <w:rsid w:val="00257C8D"/>
    <w:rsid w:val="00257CD8"/>
    <w:rsid w:val="00260709"/>
    <w:rsid w:val="0026101A"/>
    <w:rsid w:val="002610D8"/>
    <w:rsid w:val="002613DD"/>
    <w:rsid w:val="00261A6C"/>
    <w:rsid w:val="0026225E"/>
    <w:rsid w:val="002629E2"/>
    <w:rsid w:val="00262BA8"/>
    <w:rsid w:val="00262BC8"/>
    <w:rsid w:val="00263279"/>
    <w:rsid w:val="00263F4B"/>
    <w:rsid w:val="002641B4"/>
    <w:rsid w:val="002641D9"/>
    <w:rsid w:val="002643C5"/>
    <w:rsid w:val="00264917"/>
    <w:rsid w:val="00264A54"/>
    <w:rsid w:val="002651EC"/>
    <w:rsid w:val="0026527F"/>
    <w:rsid w:val="00265DC2"/>
    <w:rsid w:val="0026638C"/>
    <w:rsid w:val="002663F0"/>
    <w:rsid w:val="00266540"/>
    <w:rsid w:val="00266EDA"/>
    <w:rsid w:val="00266F00"/>
    <w:rsid w:val="002670EF"/>
    <w:rsid w:val="002671A2"/>
    <w:rsid w:val="002675E1"/>
    <w:rsid w:val="00267A38"/>
    <w:rsid w:val="00267F5F"/>
    <w:rsid w:val="00267F72"/>
    <w:rsid w:val="00270965"/>
    <w:rsid w:val="00271E5D"/>
    <w:rsid w:val="00272082"/>
    <w:rsid w:val="00273425"/>
    <w:rsid w:val="0027349D"/>
    <w:rsid w:val="00273516"/>
    <w:rsid w:val="00273985"/>
    <w:rsid w:val="00273B82"/>
    <w:rsid w:val="00273E7A"/>
    <w:rsid w:val="00273F89"/>
    <w:rsid w:val="00274372"/>
    <w:rsid w:val="002744E7"/>
    <w:rsid w:val="0027475A"/>
    <w:rsid w:val="00275E59"/>
    <w:rsid w:val="00275F56"/>
    <w:rsid w:val="002765B7"/>
    <w:rsid w:val="00276803"/>
    <w:rsid w:val="00276EAA"/>
    <w:rsid w:val="00277713"/>
    <w:rsid w:val="00277DBC"/>
    <w:rsid w:val="00277F64"/>
    <w:rsid w:val="002800AB"/>
    <w:rsid w:val="00280550"/>
    <w:rsid w:val="00281063"/>
    <w:rsid w:val="00281676"/>
    <w:rsid w:val="00281737"/>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4C7B"/>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142"/>
    <w:rsid w:val="00293271"/>
    <w:rsid w:val="002933D6"/>
    <w:rsid w:val="00293490"/>
    <w:rsid w:val="00293587"/>
    <w:rsid w:val="00293896"/>
    <w:rsid w:val="00293E85"/>
    <w:rsid w:val="00293ED1"/>
    <w:rsid w:val="0029430C"/>
    <w:rsid w:val="00294A06"/>
    <w:rsid w:val="00294FFB"/>
    <w:rsid w:val="002954FD"/>
    <w:rsid w:val="00295D8A"/>
    <w:rsid w:val="00296242"/>
    <w:rsid w:val="00296CE6"/>
    <w:rsid w:val="00296F34"/>
    <w:rsid w:val="00297186"/>
    <w:rsid w:val="002972F1"/>
    <w:rsid w:val="002973DF"/>
    <w:rsid w:val="00297D6A"/>
    <w:rsid w:val="002A0190"/>
    <w:rsid w:val="002A04D3"/>
    <w:rsid w:val="002A0983"/>
    <w:rsid w:val="002A0BF5"/>
    <w:rsid w:val="002A0CB3"/>
    <w:rsid w:val="002A1128"/>
    <w:rsid w:val="002A158C"/>
    <w:rsid w:val="002A24EB"/>
    <w:rsid w:val="002A2C5E"/>
    <w:rsid w:val="002A2D66"/>
    <w:rsid w:val="002A428E"/>
    <w:rsid w:val="002A46FA"/>
    <w:rsid w:val="002A5227"/>
    <w:rsid w:val="002A57BC"/>
    <w:rsid w:val="002A581C"/>
    <w:rsid w:val="002A5C5C"/>
    <w:rsid w:val="002A6D9B"/>
    <w:rsid w:val="002A6DC0"/>
    <w:rsid w:val="002B00FE"/>
    <w:rsid w:val="002B0E27"/>
    <w:rsid w:val="002B0F1B"/>
    <w:rsid w:val="002B10B6"/>
    <w:rsid w:val="002B10D3"/>
    <w:rsid w:val="002B1113"/>
    <w:rsid w:val="002B1119"/>
    <w:rsid w:val="002B12CE"/>
    <w:rsid w:val="002B1867"/>
    <w:rsid w:val="002B1EA3"/>
    <w:rsid w:val="002B2439"/>
    <w:rsid w:val="002B2A55"/>
    <w:rsid w:val="002B2DA9"/>
    <w:rsid w:val="002B30C8"/>
    <w:rsid w:val="002B31FA"/>
    <w:rsid w:val="002B33D5"/>
    <w:rsid w:val="002B3A06"/>
    <w:rsid w:val="002B4552"/>
    <w:rsid w:val="002B4C84"/>
    <w:rsid w:val="002B527A"/>
    <w:rsid w:val="002B5746"/>
    <w:rsid w:val="002B5B4A"/>
    <w:rsid w:val="002B62CB"/>
    <w:rsid w:val="002B63D3"/>
    <w:rsid w:val="002B64AA"/>
    <w:rsid w:val="002B6815"/>
    <w:rsid w:val="002B6AB1"/>
    <w:rsid w:val="002B6FDC"/>
    <w:rsid w:val="002B71D1"/>
    <w:rsid w:val="002C0144"/>
    <w:rsid w:val="002C094A"/>
    <w:rsid w:val="002C0C27"/>
    <w:rsid w:val="002C0CAC"/>
    <w:rsid w:val="002C0FF7"/>
    <w:rsid w:val="002C1011"/>
    <w:rsid w:val="002C1F28"/>
    <w:rsid w:val="002C1FC8"/>
    <w:rsid w:val="002C254B"/>
    <w:rsid w:val="002C25DE"/>
    <w:rsid w:val="002C27E8"/>
    <w:rsid w:val="002C2ACB"/>
    <w:rsid w:val="002C2F60"/>
    <w:rsid w:val="002C3B5C"/>
    <w:rsid w:val="002C3C47"/>
    <w:rsid w:val="002C41CB"/>
    <w:rsid w:val="002C553E"/>
    <w:rsid w:val="002C5728"/>
    <w:rsid w:val="002C5C58"/>
    <w:rsid w:val="002C6A1A"/>
    <w:rsid w:val="002C6B67"/>
    <w:rsid w:val="002C73EE"/>
    <w:rsid w:val="002C7660"/>
    <w:rsid w:val="002C7718"/>
    <w:rsid w:val="002C77DB"/>
    <w:rsid w:val="002C77F7"/>
    <w:rsid w:val="002C79B4"/>
    <w:rsid w:val="002C7CD4"/>
    <w:rsid w:val="002D0321"/>
    <w:rsid w:val="002D0E7A"/>
    <w:rsid w:val="002D11B5"/>
    <w:rsid w:val="002D155B"/>
    <w:rsid w:val="002D1AD3"/>
    <w:rsid w:val="002D40A5"/>
    <w:rsid w:val="002D436D"/>
    <w:rsid w:val="002D441D"/>
    <w:rsid w:val="002D47FE"/>
    <w:rsid w:val="002D48E1"/>
    <w:rsid w:val="002D61C8"/>
    <w:rsid w:val="002D629E"/>
    <w:rsid w:val="002D6E9A"/>
    <w:rsid w:val="002D726B"/>
    <w:rsid w:val="002D75DB"/>
    <w:rsid w:val="002E0067"/>
    <w:rsid w:val="002E02D0"/>
    <w:rsid w:val="002E0489"/>
    <w:rsid w:val="002E04C0"/>
    <w:rsid w:val="002E0544"/>
    <w:rsid w:val="002E0872"/>
    <w:rsid w:val="002E1DF4"/>
    <w:rsid w:val="002E1ECD"/>
    <w:rsid w:val="002E25C7"/>
    <w:rsid w:val="002E2C3B"/>
    <w:rsid w:val="002E3C37"/>
    <w:rsid w:val="002E4549"/>
    <w:rsid w:val="002E4BA7"/>
    <w:rsid w:val="002E4D0D"/>
    <w:rsid w:val="002E4D3D"/>
    <w:rsid w:val="002E5959"/>
    <w:rsid w:val="002E5CA7"/>
    <w:rsid w:val="002E6556"/>
    <w:rsid w:val="002E668B"/>
    <w:rsid w:val="002E6DF6"/>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63E"/>
    <w:rsid w:val="002F5F61"/>
    <w:rsid w:val="002F6532"/>
    <w:rsid w:val="002F7158"/>
    <w:rsid w:val="002F7BF6"/>
    <w:rsid w:val="002F7C4B"/>
    <w:rsid w:val="00300081"/>
    <w:rsid w:val="0030023E"/>
    <w:rsid w:val="0030059B"/>
    <w:rsid w:val="00300CBC"/>
    <w:rsid w:val="00300FC5"/>
    <w:rsid w:val="00301181"/>
    <w:rsid w:val="00301277"/>
    <w:rsid w:val="00301837"/>
    <w:rsid w:val="003019CD"/>
    <w:rsid w:val="0030341B"/>
    <w:rsid w:val="003034D2"/>
    <w:rsid w:val="0030373E"/>
    <w:rsid w:val="00303A1B"/>
    <w:rsid w:val="0030429B"/>
    <w:rsid w:val="003045BE"/>
    <w:rsid w:val="00304F2D"/>
    <w:rsid w:val="00305F53"/>
    <w:rsid w:val="003060F3"/>
    <w:rsid w:val="0030612A"/>
    <w:rsid w:val="003066ED"/>
    <w:rsid w:val="003068EC"/>
    <w:rsid w:val="00306924"/>
    <w:rsid w:val="00306C01"/>
    <w:rsid w:val="003072C0"/>
    <w:rsid w:val="0030759B"/>
    <w:rsid w:val="003076C4"/>
    <w:rsid w:val="003079A6"/>
    <w:rsid w:val="003100FB"/>
    <w:rsid w:val="00310120"/>
    <w:rsid w:val="0031015B"/>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9B5"/>
    <w:rsid w:val="00317DA5"/>
    <w:rsid w:val="003201D0"/>
    <w:rsid w:val="003205E0"/>
    <w:rsid w:val="00321386"/>
    <w:rsid w:val="00321788"/>
    <w:rsid w:val="00321848"/>
    <w:rsid w:val="00321CB3"/>
    <w:rsid w:val="00322341"/>
    <w:rsid w:val="00323106"/>
    <w:rsid w:val="003233A8"/>
    <w:rsid w:val="0032345B"/>
    <w:rsid w:val="003235FE"/>
    <w:rsid w:val="00324FF5"/>
    <w:rsid w:val="0032529C"/>
    <w:rsid w:val="003256A0"/>
    <w:rsid w:val="003265DE"/>
    <w:rsid w:val="00326A08"/>
    <w:rsid w:val="00327038"/>
    <w:rsid w:val="0032755F"/>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2CA"/>
    <w:rsid w:val="003363A3"/>
    <w:rsid w:val="003365FA"/>
    <w:rsid w:val="00336E1C"/>
    <w:rsid w:val="003379A4"/>
    <w:rsid w:val="00337BB0"/>
    <w:rsid w:val="00337CB6"/>
    <w:rsid w:val="00337DCD"/>
    <w:rsid w:val="003403AE"/>
    <w:rsid w:val="003409BD"/>
    <w:rsid w:val="0034111B"/>
    <w:rsid w:val="00342559"/>
    <w:rsid w:val="00342D1A"/>
    <w:rsid w:val="00343092"/>
    <w:rsid w:val="0034339B"/>
    <w:rsid w:val="00343860"/>
    <w:rsid w:val="00343AB5"/>
    <w:rsid w:val="003447B3"/>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72A"/>
    <w:rsid w:val="00347A1B"/>
    <w:rsid w:val="00347A47"/>
    <w:rsid w:val="00347C9F"/>
    <w:rsid w:val="00347CA3"/>
    <w:rsid w:val="00347F9F"/>
    <w:rsid w:val="00351032"/>
    <w:rsid w:val="00351265"/>
    <w:rsid w:val="0035149A"/>
    <w:rsid w:val="00351668"/>
    <w:rsid w:val="00351C04"/>
    <w:rsid w:val="00351E59"/>
    <w:rsid w:val="003523E2"/>
    <w:rsid w:val="00352775"/>
    <w:rsid w:val="00352E7C"/>
    <w:rsid w:val="00352F14"/>
    <w:rsid w:val="003530B3"/>
    <w:rsid w:val="003533BD"/>
    <w:rsid w:val="0035546F"/>
    <w:rsid w:val="003554BD"/>
    <w:rsid w:val="003554CE"/>
    <w:rsid w:val="00356586"/>
    <w:rsid w:val="00356792"/>
    <w:rsid w:val="003571E2"/>
    <w:rsid w:val="00357387"/>
    <w:rsid w:val="00357919"/>
    <w:rsid w:val="00357DD8"/>
    <w:rsid w:val="00357FBE"/>
    <w:rsid w:val="003601CE"/>
    <w:rsid w:val="003608EA"/>
    <w:rsid w:val="00360A82"/>
    <w:rsid w:val="00361062"/>
    <w:rsid w:val="003610F5"/>
    <w:rsid w:val="003614E6"/>
    <w:rsid w:val="003616F4"/>
    <w:rsid w:val="00361A95"/>
    <w:rsid w:val="00362A98"/>
    <w:rsid w:val="00362B5E"/>
    <w:rsid w:val="003638E9"/>
    <w:rsid w:val="003643A5"/>
    <w:rsid w:val="00364D97"/>
    <w:rsid w:val="0036533F"/>
    <w:rsid w:val="00365370"/>
    <w:rsid w:val="00365C2D"/>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B3"/>
    <w:rsid w:val="0037383A"/>
    <w:rsid w:val="00373B90"/>
    <w:rsid w:val="0037406E"/>
    <w:rsid w:val="0037443B"/>
    <w:rsid w:val="00374667"/>
    <w:rsid w:val="003747C7"/>
    <w:rsid w:val="00374D3E"/>
    <w:rsid w:val="00375820"/>
    <w:rsid w:val="003758C9"/>
    <w:rsid w:val="00375A9A"/>
    <w:rsid w:val="00375B14"/>
    <w:rsid w:val="00375D85"/>
    <w:rsid w:val="003760FD"/>
    <w:rsid w:val="003762F8"/>
    <w:rsid w:val="003769D5"/>
    <w:rsid w:val="00377475"/>
    <w:rsid w:val="00377A8C"/>
    <w:rsid w:val="0038054C"/>
    <w:rsid w:val="0038061C"/>
    <w:rsid w:val="0038098E"/>
    <w:rsid w:val="00381168"/>
    <w:rsid w:val="00381610"/>
    <w:rsid w:val="00381E3D"/>
    <w:rsid w:val="0038253E"/>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5A20"/>
    <w:rsid w:val="00386098"/>
    <w:rsid w:val="00386891"/>
    <w:rsid w:val="00386A21"/>
    <w:rsid w:val="0038735C"/>
    <w:rsid w:val="003874B4"/>
    <w:rsid w:val="00387631"/>
    <w:rsid w:val="00387823"/>
    <w:rsid w:val="00390044"/>
    <w:rsid w:val="00390155"/>
    <w:rsid w:val="003903FB"/>
    <w:rsid w:val="00390644"/>
    <w:rsid w:val="0039066F"/>
    <w:rsid w:val="0039076C"/>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170"/>
    <w:rsid w:val="00394577"/>
    <w:rsid w:val="00394A50"/>
    <w:rsid w:val="00394DEB"/>
    <w:rsid w:val="00394E37"/>
    <w:rsid w:val="00394FE8"/>
    <w:rsid w:val="00395069"/>
    <w:rsid w:val="003955AD"/>
    <w:rsid w:val="00395A0A"/>
    <w:rsid w:val="00395B80"/>
    <w:rsid w:val="00395D33"/>
    <w:rsid w:val="003966A2"/>
    <w:rsid w:val="00396A6C"/>
    <w:rsid w:val="00396C26"/>
    <w:rsid w:val="00396C46"/>
    <w:rsid w:val="00397340"/>
    <w:rsid w:val="0039775A"/>
    <w:rsid w:val="00397B98"/>
    <w:rsid w:val="00397BF1"/>
    <w:rsid w:val="003A0A67"/>
    <w:rsid w:val="003A1273"/>
    <w:rsid w:val="003A1596"/>
    <w:rsid w:val="003A1FEA"/>
    <w:rsid w:val="003A2180"/>
    <w:rsid w:val="003A25B6"/>
    <w:rsid w:val="003A344A"/>
    <w:rsid w:val="003A3622"/>
    <w:rsid w:val="003A36D4"/>
    <w:rsid w:val="003A375F"/>
    <w:rsid w:val="003A4139"/>
    <w:rsid w:val="003A495B"/>
    <w:rsid w:val="003A4B2F"/>
    <w:rsid w:val="003A4C4A"/>
    <w:rsid w:val="003A4F9E"/>
    <w:rsid w:val="003A5033"/>
    <w:rsid w:val="003A53AA"/>
    <w:rsid w:val="003A5CBA"/>
    <w:rsid w:val="003A5EEB"/>
    <w:rsid w:val="003A701E"/>
    <w:rsid w:val="003A70C7"/>
    <w:rsid w:val="003A7161"/>
    <w:rsid w:val="003A7200"/>
    <w:rsid w:val="003A75C6"/>
    <w:rsid w:val="003A79FF"/>
    <w:rsid w:val="003A7DFF"/>
    <w:rsid w:val="003B00E9"/>
    <w:rsid w:val="003B02DF"/>
    <w:rsid w:val="003B0574"/>
    <w:rsid w:val="003B0A8B"/>
    <w:rsid w:val="003B0BA1"/>
    <w:rsid w:val="003B0BBD"/>
    <w:rsid w:val="003B1083"/>
    <w:rsid w:val="003B12DB"/>
    <w:rsid w:val="003B172D"/>
    <w:rsid w:val="003B1C5D"/>
    <w:rsid w:val="003B1E13"/>
    <w:rsid w:val="003B1EAD"/>
    <w:rsid w:val="003B1F1C"/>
    <w:rsid w:val="003B23A8"/>
    <w:rsid w:val="003B256A"/>
    <w:rsid w:val="003B3822"/>
    <w:rsid w:val="003B3BAD"/>
    <w:rsid w:val="003B3E6B"/>
    <w:rsid w:val="003B3F02"/>
    <w:rsid w:val="003B3F64"/>
    <w:rsid w:val="003B4644"/>
    <w:rsid w:val="003B4B26"/>
    <w:rsid w:val="003B4E29"/>
    <w:rsid w:val="003B5306"/>
    <w:rsid w:val="003B5481"/>
    <w:rsid w:val="003B5757"/>
    <w:rsid w:val="003B6179"/>
    <w:rsid w:val="003B61DD"/>
    <w:rsid w:val="003B67BE"/>
    <w:rsid w:val="003B69D0"/>
    <w:rsid w:val="003B6A4D"/>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4E4"/>
    <w:rsid w:val="003C5519"/>
    <w:rsid w:val="003C5620"/>
    <w:rsid w:val="003C56D4"/>
    <w:rsid w:val="003C5A97"/>
    <w:rsid w:val="003C616B"/>
    <w:rsid w:val="003C623F"/>
    <w:rsid w:val="003C681D"/>
    <w:rsid w:val="003C6BED"/>
    <w:rsid w:val="003C7965"/>
    <w:rsid w:val="003C7D06"/>
    <w:rsid w:val="003C7EF7"/>
    <w:rsid w:val="003D0E1F"/>
    <w:rsid w:val="003D1182"/>
    <w:rsid w:val="003D1A04"/>
    <w:rsid w:val="003D1AE0"/>
    <w:rsid w:val="003D203C"/>
    <w:rsid w:val="003D22DA"/>
    <w:rsid w:val="003D35F3"/>
    <w:rsid w:val="003D3779"/>
    <w:rsid w:val="003D3CFD"/>
    <w:rsid w:val="003D425A"/>
    <w:rsid w:val="003D4866"/>
    <w:rsid w:val="003D507A"/>
    <w:rsid w:val="003D5723"/>
    <w:rsid w:val="003D6280"/>
    <w:rsid w:val="003D66CB"/>
    <w:rsid w:val="003D6837"/>
    <w:rsid w:val="003D687A"/>
    <w:rsid w:val="003D6E45"/>
    <w:rsid w:val="003D6F5B"/>
    <w:rsid w:val="003D72FF"/>
    <w:rsid w:val="003D7729"/>
    <w:rsid w:val="003D78D7"/>
    <w:rsid w:val="003D7A2D"/>
    <w:rsid w:val="003D7C91"/>
    <w:rsid w:val="003E043F"/>
    <w:rsid w:val="003E07F1"/>
    <w:rsid w:val="003E0E8C"/>
    <w:rsid w:val="003E113F"/>
    <w:rsid w:val="003E1317"/>
    <w:rsid w:val="003E1418"/>
    <w:rsid w:val="003E1E2B"/>
    <w:rsid w:val="003E2427"/>
    <w:rsid w:val="003E4979"/>
    <w:rsid w:val="003E4B79"/>
    <w:rsid w:val="003E4B85"/>
    <w:rsid w:val="003E581F"/>
    <w:rsid w:val="003E5F16"/>
    <w:rsid w:val="003E634D"/>
    <w:rsid w:val="003E64BB"/>
    <w:rsid w:val="003E6AC1"/>
    <w:rsid w:val="003E7227"/>
    <w:rsid w:val="003E742E"/>
    <w:rsid w:val="003E7E6A"/>
    <w:rsid w:val="003E7EEA"/>
    <w:rsid w:val="003F01E7"/>
    <w:rsid w:val="003F12BA"/>
    <w:rsid w:val="003F1466"/>
    <w:rsid w:val="003F18CF"/>
    <w:rsid w:val="003F2520"/>
    <w:rsid w:val="003F28F8"/>
    <w:rsid w:val="003F2BFE"/>
    <w:rsid w:val="003F31D7"/>
    <w:rsid w:val="003F3A44"/>
    <w:rsid w:val="003F3ABA"/>
    <w:rsid w:val="003F492A"/>
    <w:rsid w:val="003F5F0A"/>
    <w:rsid w:val="003F5F14"/>
    <w:rsid w:val="003F6DF4"/>
    <w:rsid w:val="003F7022"/>
    <w:rsid w:val="003F7263"/>
    <w:rsid w:val="003F78C3"/>
    <w:rsid w:val="003F7D77"/>
    <w:rsid w:val="003F7E03"/>
    <w:rsid w:val="003F7FDB"/>
    <w:rsid w:val="00400A5E"/>
    <w:rsid w:val="00401394"/>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6B3"/>
    <w:rsid w:val="00407CDA"/>
    <w:rsid w:val="004100FD"/>
    <w:rsid w:val="0041029D"/>
    <w:rsid w:val="004102C6"/>
    <w:rsid w:val="00410347"/>
    <w:rsid w:val="004104BF"/>
    <w:rsid w:val="0041068A"/>
    <w:rsid w:val="00410A13"/>
    <w:rsid w:val="00410DEC"/>
    <w:rsid w:val="0041138F"/>
    <w:rsid w:val="004118D5"/>
    <w:rsid w:val="00412EF3"/>
    <w:rsid w:val="004133CD"/>
    <w:rsid w:val="00413549"/>
    <w:rsid w:val="004141CD"/>
    <w:rsid w:val="00414538"/>
    <w:rsid w:val="0041479C"/>
    <w:rsid w:val="004149DE"/>
    <w:rsid w:val="00415E73"/>
    <w:rsid w:val="0041612A"/>
    <w:rsid w:val="00416787"/>
    <w:rsid w:val="004203CA"/>
    <w:rsid w:val="004208D7"/>
    <w:rsid w:val="00420CA2"/>
    <w:rsid w:val="00421878"/>
    <w:rsid w:val="00421F63"/>
    <w:rsid w:val="0042219B"/>
    <w:rsid w:val="004223E0"/>
    <w:rsid w:val="004228EE"/>
    <w:rsid w:val="00422BB1"/>
    <w:rsid w:val="00422D87"/>
    <w:rsid w:val="0042325A"/>
    <w:rsid w:val="0042336F"/>
    <w:rsid w:val="004234EF"/>
    <w:rsid w:val="004242F2"/>
    <w:rsid w:val="00424848"/>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1A15"/>
    <w:rsid w:val="004328E4"/>
    <w:rsid w:val="00432937"/>
    <w:rsid w:val="00433460"/>
    <w:rsid w:val="00433D87"/>
    <w:rsid w:val="00433ECE"/>
    <w:rsid w:val="00434442"/>
    <w:rsid w:val="004347A7"/>
    <w:rsid w:val="00434800"/>
    <w:rsid w:val="00434D2B"/>
    <w:rsid w:val="00434F9C"/>
    <w:rsid w:val="00435F09"/>
    <w:rsid w:val="00435F6F"/>
    <w:rsid w:val="00436548"/>
    <w:rsid w:val="00436C20"/>
    <w:rsid w:val="004373A1"/>
    <w:rsid w:val="00437D02"/>
    <w:rsid w:val="00440392"/>
    <w:rsid w:val="00440502"/>
    <w:rsid w:val="004412E5"/>
    <w:rsid w:val="0044140F"/>
    <w:rsid w:val="0044145F"/>
    <w:rsid w:val="00441545"/>
    <w:rsid w:val="004415FC"/>
    <w:rsid w:val="00441989"/>
    <w:rsid w:val="00442112"/>
    <w:rsid w:val="004424F7"/>
    <w:rsid w:val="00442822"/>
    <w:rsid w:val="004437F3"/>
    <w:rsid w:val="004438FB"/>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729"/>
    <w:rsid w:val="004528A3"/>
    <w:rsid w:val="004529D7"/>
    <w:rsid w:val="00452A11"/>
    <w:rsid w:val="00453BF4"/>
    <w:rsid w:val="00454526"/>
    <w:rsid w:val="00454571"/>
    <w:rsid w:val="004545D8"/>
    <w:rsid w:val="00455465"/>
    <w:rsid w:val="00455AFA"/>
    <w:rsid w:val="00456308"/>
    <w:rsid w:val="004566BE"/>
    <w:rsid w:val="0045682E"/>
    <w:rsid w:val="004568B4"/>
    <w:rsid w:val="00457142"/>
    <w:rsid w:val="004573A4"/>
    <w:rsid w:val="00457493"/>
    <w:rsid w:val="00457958"/>
    <w:rsid w:val="00457BC0"/>
    <w:rsid w:val="00457DD5"/>
    <w:rsid w:val="004610CC"/>
    <w:rsid w:val="0046115F"/>
    <w:rsid w:val="0046148D"/>
    <w:rsid w:val="00461535"/>
    <w:rsid w:val="004627CF"/>
    <w:rsid w:val="00462843"/>
    <w:rsid w:val="00462977"/>
    <w:rsid w:val="00462DBA"/>
    <w:rsid w:val="00463202"/>
    <w:rsid w:val="004635B7"/>
    <w:rsid w:val="00463A9C"/>
    <w:rsid w:val="00464027"/>
    <w:rsid w:val="004641CB"/>
    <w:rsid w:val="00464314"/>
    <w:rsid w:val="0046443B"/>
    <w:rsid w:val="00464BC7"/>
    <w:rsid w:val="004651B8"/>
    <w:rsid w:val="00465580"/>
    <w:rsid w:val="00465972"/>
    <w:rsid w:val="00465E7E"/>
    <w:rsid w:val="004664B4"/>
    <w:rsid w:val="00466BB5"/>
    <w:rsid w:val="004672E8"/>
    <w:rsid w:val="004677E9"/>
    <w:rsid w:val="00467E4A"/>
    <w:rsid w:val="0047001D"/>
    <w:rsid w:val="00470535"/>
    <w:rsid w:val="00471183"/>
    <w:rsid w:val="0047123C"/>
    <w:rsid w:val="004714F6"/>
    <w:rsid w:val="00471A68"/>
    <w:rsid w:val="00472719"/>
    <w:rsid w:val="0047289C"/>
    <w:rsid w:val="00472E22"/>
    <w:rsid w:val="00472F67"/>
    <w:rsid w:val="004739A1"/>
    <w:rsid w:val="00473EB7"/>
    <w:rsid w:val="0047430D"/>
    <w:rsid w:val="00474871"/>
    <w:rsid w:val="00474FDF"/>
    <w:rsid w:val="00475688"/>
    <w:rsid w:val="004758F6"/>
    <w:rsid w:val="004759E3"/>
    <w:rsid w:val="00475C51"/>
    <w:rsid w:val="00476161"/>
    <w:rsid w:val="004765DA"/>
    <w:rsid w:val="00476658"/>
    <w:rsid w:val="00476E34"/>
    <w:rsid w:val="00476EE1"/>
    <w:rsid w:val="00477163"/>
    <w:rsid w:val="00477B0E"/>
    <w:rsid w:val="004807D4"/>
    <w:rsid w:val="0048145F"/>
    <w:rsid w:val="00481688"/>
    <w:rsid w:val="004820E0"/>
    <w:rsid w:val="004822CA"/>
    <w:rsid w:val="0048259A"/>
    <w:rsid w:val="00482993"/>
    <w:rsid w:val="004838E8"/>
    <w:rsid w:val="00483F95"/>
    <w:rsid w:val="00484D20"/>
    <w:rsid w:val="004850C1"/>
    <w:rsid w:val="004850D4"/>
    <w:rsid w:val="004854AD"/>
    <w:rsid w:val="004854B1"/>
    <w:rsid w:val="0048648E"/>
    <w:rsid w:val="00486F54"/>
    <w:rsid w:val="004871B4"/>
    <w:rsid w:val="00487428"/>
    <w:rsid w:val="004876DD"/>
    <w:rsid w:val="00490CB2"/>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3DE6"/>
    <w:rsid w:val="004A4096"/>
    <w:rsid w:val="004A4277"/>
    <w:rsid w:val="004A4692"/>
    <w:rsid w:val="004A5707"/>
    <w:rsid w:val="004A669F"/>
    <w:rsid w:val="004A6842"/>
    <w:rsid w:val="004A6917"/>
    <w:rsid w:val="004A718C"/>
    <w:rsid w:val="004A78A5"/>
    <w:rsid w:val="004A7DBE"/>
    <w:rsid w:val="004A7F94"/>
    <w:rsid w:val="004B08AC"/>
    <w:rsid w:val="004B0D88"/>
    <w:rsid w:val="004B1024"/>
    <w:rsid w:val="004B1053"/>
    <w:rsid w:val="004B17C0"/>
    <w:rsid w:val="004B1DCA"/>
    <w:rsid w:val="004B1E3B"/>
    <w:rsid w:val="004B206E"/>
    <w:rsid w:val="004B229E"/>
    <w:rsid w:val="004B232E"/>
    <w:rsid w:val="004B29C2"/>
    <w:rsid w:val="004B29E1"/>
    <w:rsid w:val="004B2ABD"/>
    <w:rsid w:val="004B2C52"/>
    <w:rsid w:val="004B2F46"/>
    <w:rsid w:val="004B395D"/>
    <w:rsid w:val="004B4194"/>
    <w:rsid w:val="004B457E"/>
    <w:rsid w:val="004B4E18"/>
    <w:rsid w:val="004B55F0"/>
    <w:rsid w:val="004B56C3"/>
    <w:rsid w:val="004B6928"/>
    <w:rsid w:val="004B76A8"/>
    <w:rsid w:val="004B76C2"/>
    <w:rsid w:val="004B79FA"/>
    <w:rsid w:val="004B7D94"/>
    <w:rsid w:val="004C0528"/>
    <w:rsid w:val="004C0B44"/>
    <w:rsid w:val="004C0FB7"/>
    <w:rsid w:val="004C104B"/>
    <w:rsid w:val="004C164A"/>
    <w:rsid w:val="004C17CF"/>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0E2"/>
    <w:rsid w:val="004C738E"/>
    <w:rsid w:val="004C792E"/>
    <w:rsid w:val="004C7BCD"/>
    <w:rsid w:val="004C7FE6"/>
    <w:rsid w:val="004D0A3C"/>
    <w:rsid w:val="004D1000"/>
    <w:rsid w:val="004D1D27"/>
    <w:rsid w:val="004D282B"/>
    <w:rsid w:val="004D2EC3"/>
    <w:rsid w:val="004D2FF6"/>
    <w:rsid w:val="004D36A7"/>
    <w:rsid w:val="004D3FD6"/>
    <w:rsid w:val="004D405F"/>
    <w:rsid w:val="004D4C8B"/>
    <w:rsid w:val="004D55CA"/>
    <w:rsid w:val="004D5A27"/>
    <w:rsid w:val="004D5F0E"/>
    <w:rsid w:val="004D6626"/>
    <w:rsid w:val="004D6758"/>
    <w:rsid w:val="004D76B2"/>
    <w:rsid w:val="004D7B1A"/>
    <w:rsid w:val="004D7CB1"/>
    <w:rsid w:val="004E0830"/>
    <w:rsid w:val="004E0AE2"/>
    <w:rsid w:val="004E14DC"/>
    <w:rsid w:val="004E169C"/>
    <w:rsid w:val="004E1BF0"/>
    <w:rsid w:val="004E1E6A"/>
    <w:rsid w:val="004E2223"/>
    <w:rsid w:val="004E28E1"/>
    <w:rsid w:val="004E2B01"/>
    <w:rsid w:val="004E34C7"/>
    <w:rsid w:val="004E356A"/>
    <w:rsid w:val="004E375D"/>
    <w:rsid w:val="004E3850"/>
    <w:rsid w:val="004E3D98"/>
    <w:rsid w:val="004E3FC1"/>
    <w:rsid w:val="004E4C79"/>
    <w:rsid w:val="004E4DAE"/>
    <w:rsid w:val="004E58EA"/>
    <w:rsid w:val="004E5F65"/>
    <w:rsid w:val="004E6C7A"/>
    <w:rsid w:val="004E7615"/>
    <w:rsid w:val="004E7CDF"/>
    <w:rsid w:val="004F078C"/>
    <w:rsid w:val="004F1324"/>
    <w:rsid w:val="004F1C7D"/>
    <w:rsid w:val="004F1D24"/>
    <w:rsid w:val="004F21D2"/>
    <w:rsid w:val="004F23C9"/>
    <w:rsid w:val="004F2641"/>
    <w:rsid w:val="004F26D5"/>
    <w:rsid w:val="004F27F3"/>
    <w:rsid w:val="004F29B9"/>
    <w:rsid w:val="004F2B8E"/>
    <w:rsid w:val="004F2C85"/>
    <w:rsid w:val="004F32BF"/>
    <w:rsid w:val="004F3E6A"/>
    <w:rsid w:val="004F469D"/>
    <w:rsid w:val="004F5346"/>
    <w:rsid w:val="004F5372"/>
    <w:rsid w:val="004F5C09"/>
    <w:rsid w:val="004F5E4E"/>
    <w:rsid w:val="004F632A"/>
    <w:rsid w:val="004F63CC"/>
    <w:rsid w:val="004F6678"/>
    <w:rsid w:val="004F6B28"/>
    <w:rsid w:val="004F6C65"/>
    <w:rsid w:val="004F6CEC"/>
    <w:rsid w:val="004F6D2E"/>
    <w:rsid w:val="004F7F0F"/>
    <w:rsid w:val="004F7FBC"/>
    <w:rsid w:val="005001AE"/>
    <w:rsid w:val="005006A1"/>
    <w:rsid w:val="005007E7"/>
    <w:rsid w:val="005012FC"/>
    <w:rsid w:val="0050191C"/>
    <w:rsid w:val="00501DD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9B6"/>
    <w:rsid w:val="00510A22"/>
    <w:rsid w:val="00510D8A"/>
    <w:rsid w:val="00511AEF"/>
    <w:rsid w:val="00511EBC"/>
    <w:rsid w:val="005121D0"/>
    <w:rsid w:val="005125D5"/>
    <w:rsid w:val="005129CB"/>
    <w:rsid w:val="00512D51"/>
    <w:rsid w:val="00512E95"/>
    <w:rsid w:val="00514432"/>
    <w:rsid w:val="00514674"/>
    <w:rsid w:val="0051477F"/>
    <w:rsid w:val="00514C46"/>
    <w:rsid w:val="005157BE"/>
    <w:rsid w:val="005158C0"/>
    <w:rsid w:val="00515BCF"/>
    <w:rsid w:val="00516083"/>
    <w:rsid w:val="0051635A"/>
    <w:rsid w:val="0051646E"/>
    <w:rsid w:val="005166C3"/>
    <w:rsid w:val="00516EA5"/>
    <w:rsid w:val="00517900"/>
    <w:rsid w:val="005179DA"/>
    <w:rsid w:val="00517E2A"/>
    <w:rsid w:val="00520C1C"/>
    <w:rsid w:val="00521439"/>
    <w:rsid w:val="0052175B"/>
    <w:rsid w:val="005218CD"/>
    <w:rsid w:val="0052195B"/>
    <w:rsid w:val="00521D8D"/>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4DC2"/>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3B24"/>
    <w:rsid w:val="005440DF"/>
    <w:rsid w:val="005448B9"/>
    <w:rsid w:val="00544A83"/>
    <w:rsid w:val="00544B0E"/>
    <w:rsid w:val="00545136"/>
    <w:rsid w:val="005452C1"/>
    <w:rsid w:val="00545B42"/>
    <w:rsid w:val="0054612B"/>
    <w:rsid w:val="00546670"/>
    <w:rsid w:val="00547753"/>
    <w:rsid w:val="005479F5"/>
    <w:rsid w:val="00547D90"/>
    <w:rsid w:val="00547F3B"/>
    <w:rsid w:val="0055043E"/>
    <w:rsid w:val="00550863"/>
    <w:rsid w:val="005508EF"/>
    <w:rsid w:val="005510E3"/>
    <w:rsid w:val="0055173F"/>
    <w:rsid w:val="0055185A"/>
    <w:rsid w:val="00551AE8"/>
    <w:rsid w:val="00551D57"/>
    <w:rsid w:val="00552E11"/>
    <w:rsid w:val="00552FEB"/>
    <w:rsid w:val="00553060"/>
    <w:rsid w:val="0055326B"/>
    <w:rsid w:val="005532A3"/>
    <w:rsid w:val="0055334F"/>
    <w:rsid w:val="00553395"/>
    <w:rsid w:val="00553485"/>
    <w:rsid w:val="00553567"/>
    <w:rsid w:val="005536D8"/>
    <w:rsid w:val="00553701"/>
    <w:rsid w:val="005538EF"/>
    <w:rsid w:val="0055400F"/>
    <w:rsid w:val="005548DD"/>
    <w:rsid w:val="00554B86"/>
    <w:rsid w:val="00555500"/>
    <w:rsid w:val="00555FC3"/>
    <w:rsid w:val="00556027"/>
    <w:rsid w:val="00556506"/>
    <w:rsid w:val="0055659A"/>
    <w:rsid w:val="00556731"/>
    <w:rsid w:val="005568E4"/>
    <w:rsid w:val="00557401"/>
    <w:rsid w:val="0055747C"/>
    <w:rsid w:val="00557B4A"/>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0BF8"/>
    <w:rsid w:val="0057146C"/>
    <w:rsid w:val="0057162D"/>
    <w:rsid w:val="00572749"/>
    <w:rsid w:val="00572E92"/>
    <w:rsid w:val="005739F4"/>
    <w:rsid w:val="00573A7F"/>
    <w:rsid w:val="00573EE1"/>
    <w:rsid w:val="0057406C"/>
    <w:rsid w:val="005744AE"/>
    <w:rsid w:val="00575051"/>
    <w:rsid w:val="0057536B"/>
    <w:rsid w:val="005758E3"/>
    <w:rsid w:val="00576D35"/>
    <w:rsid w:val="00577712"/>
    <w:rsid w:val="005777C8"/>
    <w:rsid w:val="00577AD5"/>
    <w:rsid w:val="00577BE5"/>
    <w:rsid w:val="00577CB9"/>
    <w:rsid w:val="00577F23"/>
    <w:rsid w:val="005806F3"/>
    <w:rsid w:val="00580A72"/>
    <w:rsid w:val="00580BC4"/>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88"/>
    <w:rsid w:val="00584AC0"/>
    <w:rsid w:val="00585C21"/>
    <w:rsid w:val="0058730E"/>
    <w:rsid w:val="005874CD"/>
    <w:rsid w:val="00587597"/>
    <w:rsid w:val="005907A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2CDB"/>
    <w:rsid w:val="0059301D"/>
    <w:rsid w:val="00593155"/>
    <w:rsid w:val="0059353B"/>
    <w:rsid w:val="00593887"/>
    <w:rsid w:val="005938DB"/>
    <w:rsid w:val="00594302"/>
    <w:rsid w:val="005949FB"/>
    <w:rsid w:val="00594C1A"/>
    <w:rsid w:val="00594F3E"/>
    <w:rsid w:val="00595106"/>
    <w:rsid w:val="00595692"/>
    <w:rsid w:val="00595B7B"/>
    <w:rsid w:val="00596020"/>
    <w:rsid w:val="0059632F"/>
    <w:rsid w:val="005964D0"/>
    <w:rsid w:val="00597799"/>
    <w:rsid w:val="005977F9"/>
    <w:rsid w:val="00597BA8"/>
    <w:rsid w:val="005A01E7"/>
    <w:rsid w:val="005A02C8"/>
    <w:rsid w:val="005A0487"/>
    <w:rsid w:val="005A09E5"/>
    <w:rsid w:val="005A1387"/>
    <w:rsid w:val="005A1473"/>
    <w:rsid w:val="005A19FF"/>
    <w:rsid w:val="005A2074"/>
    <w:rsid w:val="005A24AE"/>
    <w:rsid w:val="005A2D7F"/>
    <w:rsid w:val="005A31B6"/>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901"/>
    <w:rsid w:val="005B1D3B"/>
    <w:rsid w:val="005B2088"/>
    <w:rsid w:val="005B21FD"/>
    <w:rsid w:val="005B2466"/>
    <w:rsid w:val="005B2BBB"/>
    <w:rsid w:val="005B2BF5"/>
    <w:rsid w:val="005B2FD3"/>
    <w:rsid w:val="005B4197"/>
    <w:rsid w:val="005B41B3"/>
    <w:rsid w:val="005B4289"/>
    <w:rsid w:val="005B43DC"/>
    <w:rsid w:val="005B5926"/>
    <w:rsid w:val="005B5A43"/>
    <w:rsid w:val="005B5A74"/>
    <w:rsid w:val="005B5DBE"/>
    <w:rsid w:val="005B66DA"/>
    <w:rsid w:val="005B66FE"/>
    <w:rsid w:val="005B6728"/>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5D90"/>
    <w:rsid w:val="005C677E"/>
    <w:rsid w:val="005C6CD0"/>
    <w:rsid w:val="005C7072"/>
    <w:rsid w:val="005C785E"/>
    <w:rsid w:val="005C78D5"/>
    <w:rsid w:val="005C7EE7"/>
    <w:rsid w:val="005D00B6"/>
    <w:rsid w:val="005D101F"/>
    <w:rsid w:val="005D1247"/>
    <w:rsid w:val="005D18EB"/>
    <w:rsid w:val="005D1A6C"/>
    <w:rsid w:val="005D1D60"/>
    <w:rsid w:val="005D205D"/>
    <w:rsid w:val="005D2A66"/>
    <w:rsid w:val="005D2F54"/>
    <w:rsid w:val="005D33D2"/>
    <w:rsid w:val="005D353D"/>
    <w:rsid w:val="005D38BE"/>
    <w:rsid w:val="005D3FD5"/>
    <w:rsid w:val="005D41F7"/>
    <w:rsid w:val="005D52D8"/>
    <w:rsid w:val="005D52DD"/>
    <w:rsid w:val="005D593D"/>
    <w:rsid w:val="005D63A5"/>
    <w:rsid w:val="005D69A4"/>
    <w:rsid w:val="005D79B5"/>
    <w:rsid w:val="005D7BDA"/>
    <w:rsid w:val="005E0A1F"/>
    <w:rsid w:val="005E0DEA"/>
    <w:rsid w:val="005E1303"/>
    <w:rsid w:val="005E1667"/>
    <w:rsid w:val="005E17B3"/>
    <w:rsid w:val="005E1AB9"/>
    <w:rsid w:val="005E1BB5"/>
    <w:rsid w:val="005E1BD6"/>
    <w:rsid w:val="005E20D0"/>
    <w:rsid w:val="005E2178"/>
    <w:rsid w:val="005E2A79"/>
    <w:rsid w:val="005E2D15"/>
    <w:rsid w:val="005E2EDB"/>
    <w:rsid w:val="005E2FB1"/>
    <w:rsid w:val="005E3850"/>
    <w:rsid w:val="005E3EB4"/>
    <w:rsid w:val="005E3F94"/>
    <w:rsid w:val="005E40C8"/>
    <w:rsid w:val="005E40E8"/>
    <w:rsid w:val="005E42C5"/>
    <w:rsid w:val="005E43DF"/>
    <w:rsid w:val="005E48DE"/>
    <w:rsid w:val="005E566F"/>
    <w:rsid w:val="005E578A"/>
    <w:rsid w:val="005E64AF"/>
    <w:rsid w:val="005E6BE9"/>
    <w:rsid w:val="005E71A5"/>
    <w:rsid w:val="005E777B"/>
    <w:rsid w:val="005E779A"/>
    <w:rsid w:val="005E7980"/>
    <w:rsid w:val="005F03D5"/>
    <w:rsid w:val="005F0415"/>
    <w:rsid w:val="005F0860"/>
    <w:rsid w:val="005F0E01"/>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4776"/>
    <w:rsid w:val="005F54B4"/>
    <w:rsid w:val="005F5576"/>
    <w:rsid w:val="005F5616"/>
    <w:rsid w:val="005F5A4E"/>
    <w:rsid w:val="005F5A6F"/>
    <w:rsid w:val="005F5C6D"/>
    <w:rsid w:val="005F5E8E"/>
    <w:rsid w:val="005F60E6"/>
    <w:rsid w:val="005F61DD"/>
    <w:rsid w:val="005F7421"/>
    <w:rsid w:val="005F764A"/>
    <w:rsid w:val="005F7BC3"/>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0B1"/>
    <w:rsid w:val="00607290"/>
    <w:rsid w:val="00607C10"/>
    <w:rsid w:val="00607F50"/>
    <w:rsid w:val="00610B85"/>
    <w:rsid w:val="00610C2E"/>
    <w:rsid w:val="00611159"/>
    <w:rsid w:val="00611BA6"/>
    <w:rsid w:val="006123C1"/>
    <w:rsid w:val="00612D19"/>
    <w:rsid w:val="0061330F"/>
    <w:rsid w:val="006133F1"/>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6DD5"/>
    <w:rsid w:val="006171E6"/>
    <w:rsid w:val="0061735F"/>
    <w:rsid w:val="00617B9C"/>
    <w:rsid w:val="00617D2F"/>
    <w:rsid w:val="006204B8"/>
    <w:rsid w:val="006205E1"/>
    <w:rsid w:val="00620770"/>
    <w:rsid w:val="006208EE"/>
    <w:rsid w:val="0062091D"/>
    <w:rsid w:val="00620C44"/>
    <w:rsid w:val="0062100E"/>
    <w:rsid w:val="006211A5"/>
    <w:rsid w:val="0062130A"/>
    <w:rsid w:val="006213A1"/>
    <w:rsid w:val="0062192E"/>
    <w:rsid w:val="006219BC"/>
    <w:rsid w:val="00621DD8"/>
    <w:rsid w:val="00622789"/>
    <w:rsid w:val="006233C1"/>
    <w:rsid w:val="00623A38"/>
    <w:rsid w:val="00623C65"/>
    <w:rsid w:val="00624649"/>
    <w:rsid w:val="006249A7"/>
    <w:rsid w:val="006249D1"/>
    <w:rsid w:val="00624AE6"/>
    <w:rsid w:val="00624D4F"/>
    <w:rsid w:val="00625713"/>
    <w:rsid w:val="00625B22"/>
    <w:rsid w:val="00625C53"/>
    <w:rsid w:val="00626415"/>
    <w:rsid w:val="006267D5"/>
    <w:rsid w:val="0062768B"/>
    <w:rsid w:val="00627A49"/>
    <w:rsid w:val="00627CBB"/>
    <w:rsid w:val="00627D60"/>
    <w:rsid w:val="00627E30"/>
    <w:rsid w:val="00627F40"/>
    <w:rsid w:val="0063015E"/>
    <w:rsid w:val="006303FC"/>
    <w:rsid w:val="006309D1"/>
    <w:rsid w:val="0063135D"/>
    <w:rsid w:val="00631716"/>
    <w:rsid w:val="0063179F"/>
    <w:rsid w:val="006317A4"/>
    <w:rsid w:val="006320F2"/>
    <w:rsid w:val="00632259"/>
    <w:rsid w:val="00632765"/>
    <w:rsid w:val="00632C48"/>
    <w:rsid w:val="00632DD8"/>
    <w:rsid w:val="006338DA"/>
    <w:rsid w:val="0063390C"/>
    <w:rsid w:val="00633A5E"/>
    <w:rsid w:val="00633F74"/>
    <w:rsid w:val="00634243"/>
    <w:rsid w:val="00635AEB"/>
    <w:rsid w:val="00635DC8"/>
    <w:rsid w:val="00636328"/>
    <w:rsid w:val="00636EF8"/>
    <w:rsid w:val="00636FEF"/>
    <w:rsid w:val="0063715F"/>
    <w:rsid w:val="006377DB"/>
    <w:rsid w:val="006405A2"/>
    <w:rsid w:val="00640699"/>
    <w:rsid w:val="0064094F"/>
    <w:rsid w:val="0064096C"/>
    <w:rsid w:val="006417E0"/>
    <w:rsid w:val="006418D2"/>
    <w:rsid w:val="006419D4"/>
    <w:rsid w:val="00641E1E"/>
    <w:rsid w:val="00641EB4"/>
    <w:rsid w:val="00642453"/>
    <w:rsid w:val="00642532"/>
    <w:rsid w:val="006432A2"/>
    <w:rsid w:val="00643C26"/>
    <w:rsid w:val="00643F85"/>
    <w:rsid w:val="006443B2"/>
    <w:rsid w:val="006443C2"/>
    <w:rsid w:val="00644B60"/>
    <w:rsid w:val="00645210"/>
    <w:rsid w:val="00645933"/>
    <w:rsid w:val="006459B3"/>
    <w:rsid w:val="00645D57"/>
    <w:rsid w:val="00645ED6"/>
    <w:rsid w:val="006461DC"/>
    <w:rsid w:val="00646970"/>
    <w:rsid w:val="00646FDD"/>
    <w:rsid w:val="00647C38"/>
    <w:rsid w:val="00647D39"/>
    <w:rsid w:val="006500A2"/>
    <w:rsid w:val="006502DF"/>
    <w:rsid w:val="0065058D"/>
    <w:rsid w:val="006507C0"/>
    <w:rsid w:val="00650C5E"/>
    <w:rsid w:val="00651147"/>
    <w:rsid w:val="0065131D"/>
    <w:rsid w:val="00651917"/>
    <w:rsid w:val="00651A76"/>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7F2"/>
    <w:rsid w:val="00656F87"/>
    <w:rsid w:val="00656FC3"/>
    <w:rsid w:val="00657693"/>
    <w:rsid w:val="006577B2"/>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579F"/>
    <w:rsid w:val="00666754"/>
    <w:rsid w:val="00666AEA"/>
    <w:rsid w:val="00667FB2"/>
    <w:rsid w:val="006707D0"/>
    <w:rsid w:val="00670872"/>
    <w:rsid w:val="00670D2E"/>
    <w:rsid w:val="0067269F"/>
    <w:rsid w:val="006726CB"/>
    <w:rsid w:val="0067272F"/>
    <w:rsid w:val="00673BA4"/>
    <w:rsid w:val="00673BCF"/>
    <w:rsid w:val="00673E1B"/>
    <w:rsid w:val="00674C5D"/>
    <w:rsid w:val="00674ED8"/>
    <w:rsid w:val="00674F64"/>
    <w:rsid w:val="00674FA7"/>
    <w:rsid w:val="00675793"/>
    <w:rsid w:val="00675A6B"/>
    <w:rsid w:val="00675C5E"/>
    <w:rsid w:val="006764F2"/>
    <w:rsid w:val="006767D5"/>
    <w:rsid w:val="0067685F"/>
    <w:rsid w:val="00676931"/>
    <w:rsid w:val="00676D0E"/>
    <w:rsid w:val="00676F0B"/>
    <w:rsid w:val="006773D1"/>
    <w:rsid w:val="00677B02"/>
    <w:rsid w:val="00677F4A"/>
    <w:rsid w:val="006801BB"/>
    <w:rsid w:val="006802E3"/>
    <w:rsid w:val="00680CC6"/>
    <w:rsid w:val="00681DF5"/>
    <w:rsid w:val="0068241B"/>
    <w:rsid w:val="00683242"/>
    <w:rsid w:val="006835CE"/>
    <w:rsid w:val="00683604"/>
    <w:rsid w:val="00683889"/>
    <w:rsid w:val="0068396C"/>
    <w:rsid w:val="00683BA6"/>
    <w:rsid w:val="006842A2"/>
    <w:rsid w:val="006848BB"/>
    <w:rsid w:val="00685075"/>
    <w:rsid w:val="00685339"/>
    <w:rsid w:val="00685469"/>
    <w:rsid w:val="00685597"/>
    <w:rsid w:val="00685F9B"/>
    <w:rsid w:val="00686338"/>
    <w:rsid w:val="00686D47"/>
    <w:rsid w:val="0068731C"/>
    <w:rsid w:val="006903C3"/>
    <w:rsid w:val="006904AD"/>
    <w:rsid w:val="006905F1"/>
    <w:rsid w:val="0069072A"/>
    <w:rsid w:val="00691142"/>
    <w:rsid w:val="006912E6"/>
    <w:rsid w:val="006914E9"/>
    <w:rsid w:val="00691815"/>
    <w:rsid w:val="00691CFB"/>
    <w:rsid w:val="00691E51"/>
    <w:rsid w:val="006920CA"/>
    <w:rsid w:val="00692296"/>
    <w:rsid w:val="006927F0"/>
    <w:rsid w:val="00692C4E"/>
    <w:rsid w:val="006933B5"/>
    <w:rsid w:val="006936DB"/>
    <w:rsid w:val="00693801"/>
    <w:rsid w:val="00693971"/>
    <w:rsid w:val="00693D77"/>
    <w:rsid w:val="006944B8"/>
    <w:rsid w:val="00694706"/>
    <w:rsid w:val="00694763"/>
    <w:rsid w:val="00694A15"/>
    <w:rsid w:val="00694DF8"/>
    <w:rsid w:val="00695115"/>
    <w:rsid w:val="006956E0"/>
    <w:rsid w:val="006959A9"/>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19"/>
    <w:rsid w:val="006A1ADF"/>
    <w:rsid w:val="006A23AC"/>
    <w:rsid w:val="006A2835"/>
    <w:rsid w:val="006A2E08"/>
    <w:rsid w:val="006A3A19"/>
    <w:rsid w:val="006A3B9E"/>
    <w:rsid w:val="006A3D6D"/>
    <w:rsid w:val="006A3D73"/>
    <w:rsid w:val="006A3FA6"/>
    <w:rsid w:val="006A43EA"/>
    <w:rsid w:val="006A471A"/>
    <w:rsid w:val="006A491A"/>
    <w:rsid w:val="006A4CAB"/>
    <w:rsid w:val="006A5290"/>
    <w:rsid w:val="006A5C90"/>
    <w:rsid w:val="006A61AC"/>
    <w:rsid w:val="006A652D"/>
    <w:rsid w:val="006A777A"/>
    <w:rsid w:val="006A7AE9"/>
    <w:rsid w:val="006A7C9D"/>
    <w:rsid w:val="006A7DCF"/>
    <w:rsid w:val="006B0264"/>
    <w:rsid w:val="006B123A"/>
    <w:rsid w:val="006B1E59"/>
    <w:rsid w:val="006B233E"/>
    <w:rsid w:val="006B26A5"/>
    <w:rsid w:val="006B2995"/>
    <w:rsid w:val="006B2B39"/>
    <w:rsid w:val="006B2F13"/>
    <w:rsid w:val="006B3EFD"/>
    <w:rsid w:val="006B409B"/>
    <w:rsid w:val="006B40C8"/>
    <w:rsid w:val="006B472A"/>
    <w:rsid w:val="006B4A45"/>
    <w:rsid w:val="006B549F"/>
    <w:rsid w:val="006B65CB"/>
    <w:rsid w:val="006B6A51"/>
    <w:rsid w:val="006B765D"/>
    <w:rsid w:val="006C0867"/>
    <w:rsid w:val="006C0FAD"/>
    <w:rsid w:val="006C12F3"/>
    <w:rsid w:val="006C14F6"/>
    <w:rsid w:val="006C1D74"/>
    <w:rsid w:val="006C1E36"/>
    <w:rsid w:val="006C1F18"/>
    <w:rsid w:val="006C215A"/>
    <w:rsid w:val="006C24C7"/>
    <w:rsid w:val="006C273C"/>
    <w:rsid w:val="006C374A"/>
    <w:rsid w:val="006C3A0F"/>
    <w:rsid w:val="006C3D97"/>
    <w:rsid w:val="006C3F21"/>
    <w:rsid w:val="006C476D"/>
    <w:rsid w:val="006C479E"/>
    <w:rsid w:val="006C482E"/>
    <w:rsid w:val="006C4A8F"/>
    <w:rsid w:val="006C57FE"/>
    <w:rsid w:val="006C5A0B"/>
    <w:rsid w:val="006C5AB5"/>
    <w:rsid w:val="006C6E36"/>
    <w:rsid w:val="006C705E"/>
    <w:rsid w:val="006C718E"/>
    <w:rsid w:val="006C7216"/>
    <w:rsid w:val="006C7266"/>
    <w:rsid w:val="006C74AE"/>
    <w:rsid w:val="006D045E"/>
    <w:rsid w:val="006D09C1"/>
    <w:rsid w:val="006D0B6D"/>
    <w:rsid w:val="006D0D77"/>
    <w:rsid w:val="006D137B"/>
    <w:rsid w:val="006D1549"/>
    <w:rsid w:val="006D1A5F"/>
    <w:rsid w:val="006D2BF8"/>
    <w:rsid w:val="006D381C"/>
    <w:rsid w:val="006D39EA"/>
    <w:rsid w:val="006D3CE0"/>
    <w:rsid w:val="006D4801"/>
    <w:rsid w:val="006D487E"/>
    <w:rsid w:val="006D4A33"/>
    <w:rsid w:val="006D53DF"/>
    <w:rsid w:val="006D54F7"/>
    <w:rsid w:val="006D5604"/>
    <w:rsid w:val="006D5CDA"/>
    <w:rsid w:val="006D60DF"/>
    <w:rsid w:val="006D6347"/>
    <w:rsid w:val="006D746B"/>
    <w:rsid w:val="006D7902"/>
    <w:rsid w:val="006D7C9D"/>
    <w:rsid w:val="006D7D85"/>
    <w:rsid w:val="006E045E"/>
    <w:rsid w:val="006E09E9"/>
    <w:rsid w:val="006E0B1F"/>
    <w:rsid w:val="006E0B21"/>
    <w:rsid w:val="006E128E"/>
    <w:rsid w:val="006E171B"/>
    <w:rsid w:val="006E1E72"/>
    <w:rsid w:val="006E2C6D"/>
    <w:rsid w:val="006E33D2"/>
    <w:rsid w:val="006E3709"/>
    <w:rsid w:val="006E374B"/>
    <w:rsid w:val="006E3B50"/>
    <w:rsid w:val="006E44D3"/>
    <w:rsid w:val="006E4705"/>
    <w:rsid w:val="006E470D"/>
    <w:rsid w:val="006E4772"/>
    <w:rsid w:val="006E49DF"/>
    <w:rsid w:val="006E4E1E"/>
    <w:rsid w:val="006E4E81"/>
    <w:rsid w:val="006E575C"/>
    <w:rsid w:val="006E5792"/>
    <w:rsid w:val="006E58CF"/>
    <w:rsid w:val="006E6241"/>
    <w:rsid w:val="006E645F"/>
    <w:rsid w:val="006E64C9"/>
    <w:rsid w:val="006E6F3D"/>
    <w:rsid w:val="006F0699"/>
    <w:rsid w:val="006F117D"/>
    <w:rsid w:val="006F1195"/>
    <w:rsid w:val="006F13F3"/>
    <w:rsid w:val="006F15D2"/>
    <w:rsid w:val="006F1DBD"/>
    <w:rsid w:val="006F1E00"/>
    <w:rsid w:val="006F22D6"/>
    <w:rsid w:val="006F2B5D"/>
    <w:rsid w:val="006F301F"/>
    <w:rsid w:val="006F30C1"/>
    <w:rsid w:val="006F360F"/>
    <w:rsid w:val="006F4841"/>
    <w:rsid w:val="006F4E24"/>
    <w:rsid w:val="006F5847"/>
    <w:rsid w:val="006F5B1A"/>
    <w:rsid w:val="006F5F76"/>
    <w:rsid w:val="006F6790"/>
    <w:rsid w:val="007007F0"/>
    <w:rsid w:val="00700821"/>
    <w:rsid w:val="007010A7"/>
    <w:rsid w:val="007011D1"/>
    <w:rsid w:val="007011D8"/>
    <w:rsid w:val="007020A1"/>
    <w:rsid w:val="0070270C"/>
    <w:rsid w:val="00702723"/>
    <w:rsid w:val="0070303A"/>
    <w:rsid w:val="0070328F"/>
    <w:rsid w:val="007038D9"/>
    <w:rsid w:val="00704346"/>
    <w:rsid w:val="00704464"/>
    <w:rsid w:val="00704527"/>
    <w:rsid w:val="007051A5"/>
    <w:rsid w:val="0070522E"/>
    <w:rsid w:val="00705BD7"/>
    <w:rsid w:val="00706197"/>
    <w:rsid w:val="007061EC"/>
    <w:rsid w:val="00706461"/>
    <w:rsid w:val="00706688"/>
    <w:rsid w:val="007068BB"/>
    <w:rsid w:val="007068C5"/>
    <w:rsid w:val="00706937"/>
    <w:rsid w:val="00706995"/>
    <w:rsid w:val="00706C3A"/>
    <w:rsid w:val="00706DBF"/>
    <w:rsid w:val="00706E1E"/>
    <w:rsid w:val="007071D4"/>
    <w:rsid w:val="00707C37"/>
    <w:rsid w:val="00707CEC"/>
    <w:rsid w:val="00710164"/>
    <w:rsid w:val="00710167"/>
    <w:rsid w:val="00710595"/>
    <w:rsid w:val="00710870"/>
    <w:rsid w:val="00710D9F"/>
    <w:rsid w:val="007110B3"/>
    <w:rsid w:val="00711721"/>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B24"/>
    <w:rsid w:val="00715C06"/>
    <w:rsid w:val="00716D4E"/>
    <w:rsid w:val="0071717E"/>
    <w:rsid w:val="00717AE4"/>
    <w:rsid w:val="007207D2"/>
    <w:rsid w:val="00720A2C"/>
    <w:rsid w:val="00720B85"/>
    <w:rsid w:val="00720C22"/>
    <w:rsid w:val="00720C6E"/>
    <w:rsid w:val="00720E58"/>
    <w:rsid w:val="00720E79"/>
    <w:rsid w:val="007220A1"/>
    <w:rsid w:val="00722BE6"/>
    <w:rsid w:val="00722CD9"/>
    <w:rsid w:val="00722EF9"/>
    <w:rsid w:val="007232F1"/>
    <w:rsid w:val="007233A9"/>
    <w:rsid w:val="00723942"/>
    <w:rsid w:val="00723F60"/>
    <w:rsid w:val="0072415D"/>
    <w:rsid w:val="0072454A"/>
    <w:rsid w:val="007245B1"/>
    <w:rsid w:val="00724952"/>
    <w:rsid w:val="00724CD4"/>
    <w:rsid w:val="00724DDA"/>
    <w:rsid w:val="00725AAF"/>
    <w:rsid w:val="00725D1A"/>
    <w:rsid w:val="00725DF3"/>
    <w:rsid w:val="00726B7D"/>
    <w:rsid w:val="00727237"/>
    <w:rsid w:val="00727285"/>
    <w:rsid w:val="00727380"/>
    <w:rsid w:val="00727D91"/>
    <w:rsid w:val="00727E44"/>
    <w:rsid w:val="00730152"/>
    <w:rsid w:val="007301B7"/>
    <w:rsid w:val="007305BB"/>
    <w:rsid w:val="0073071A"/>
    <w:rsid w:val="00730DD2"/>
    <w:rsid w:val="007310E4"/>
    <w:rsid w:val="00731129"/>
    <w:rsid w:val="00732732"/>
    <w:rsid w:val="00732752"/>
    <w:rsid w:val="00732855"/>
    <w:rsid w:val="00732873"/>
    <w:rsid w:val="007335F6"/>
    <w:rsid w:val="00733963"/>
    <w:rsid w:val="0073397C"/>
    <w:rsid w:val="00734051"/>
    <w:rsid w:val="00734519"/>
    <w:rsid w:val="0073458B"/>
    <w:rsid w:val="007347C3"/>
    <w:rsid w:val="00734B84"/>
    <w:rsid w:val="007357C1"/>
    <w:rsid w:val="00735EBF"/>
    <w:rsid w:val="007365ED"/>
    <w:rsid w:val="007366EF"/>
    <w:rsid w:val="00736927"/>
    <w:rsid w:val="00737107"/>
    <w:rsid w:val="00737A4B"/>
    <w:rsid w:val="00740008"/>
    <w:rsid w:val="00741114"/>
    <w:rsid w:val="00741355"/>
    <w:rsid w:val="007414E3"/>
    <w:rsid w:val="007415E9"/>
    <w:rsid w:val="00741C56"/>
    <w:rsid w:val="00741C83"/>
    <w:rsid w:val="00741E9A"/>
    <w:rsid w:val="00742891"/>
    <w:rsid w:val="00742C3D"/>
    <w:rsid w:val="00742DAD"/>
    <w:rsid w:val="00743334"/>
    <w:rsid w:val="00743455"/>
    <w:rsid w:val="00743593"/>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47767"/>
    <w:rsid w:val="00747A15"/>
    <w:rsid w:val="007505F4"/>
    <w:rsid w:val="00750979"/>
    <w:rsid w:val="0075126E"/>
    <w:rsid w:val="00751313"/>
    <w:rsid w:val="007514AA"/>
    <w:rsid w:val="00751760"/>
    <w:rsid w:val="00751877"/>
    <w:rsid w:val="007518C9"/>
    <w:rsid w:val="0075218A"/>
    <w:rsid w:val="00752238"/>
    <w:rsid w:val="00752DE0"/>
    <w:rsid w:val="00752E14"/>
    <w:rsid w:val="007532B4"/>
    <w:rsid w:val="00753590"/>
    <w:rsid w:val="00753DA5"/>
    <w:rsid w:val="00753E07"/>
    <w:rsid w:val="00754517"/>
    <w:rsid w:val="00754B67"/>
    <w:rsid w:val="00754C10"/>
    <w:rsid w:val="00754E53"/>
    <w:rsid w:val="0075502B"/>
    <w:rsid w:val="007551A1"/>
    <w:rsid w:val="0075553E"/>
    <w:rsid w:val="00755633"/>
    <w:rsid w:val="00755B6F"/>
    <w:rsid w:val="007566FB"/>
    <w:rsid w:val="0075677E"/>
    <w:rsid w:val="00756A17"/>
    <w:rsid w:val="00756B41"/>
    <w:rsid w:val="00756D17"/>
    <w:rsid w:val="0075737C"/>
    <w:rsid w:val="007576EC"/>
    <w:rsid w:val="00757957"/>
    <w:rsid w:val="0076005B"/>
    <w:rsid w:val="00760978"/>
    <w:rsid w:val="00760D42"/>
    <w:rsid w:val="007612D3"/>
    <w:rsid w:val="007617AD"/>
    <w:rsid w:val="007623B0"/>
    <w:rsid w:val="00762A7D"/>
    <w:rsid w:val="00763642"/>
    <w:rsid w:val="00763B9E"/>
    <w:rsid w:val="00764588"/>
    <w:rsid w:val="007648FE"/>
    <w:rsid w:val="00764B39"/>
    <w:rsid w:val="00765D9B"/>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57"/>
    <w:rsid w:val="0077558B"/>
    <w:rsid w:val="007756E4"/>
    <w:rsid w:val="00775F6A"/>
    <w:rsid w:val="00776874"/>
    <w:rsid w:val="0077726C"/>
    <w:rsid w:val="00777A41"/>
    <w:rsid w:val="00777AAB"/>
    <w:rsid w:val="007801B4"/>
    <w:rsid w:val="00780FF9"/>
    <w:rsid w:val="00782017"/>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69E"/>
    <w:rsid w:val="00791DE1"/>
    <w:rsid w:val="00793181"/>
    <w:rsid w:val="00793670"/>
    <w:rsid w:val="007936BD"/>
    <w:rsid w:val="007936C1"/>
    <w:rsid w:val="00793867"/>
    <w:rsid w:val="00793D45"/>
    <w:rsid w:val="00794BF9"/>
    <w:rsid w:val="00794F5B"/>
    <w:rsid w:val="007951A2"/>
    <w:rsid w:val="00795E20"/>
    <w:rsid w:val="00796787"/>
    <w:rsid w:val="007975BD"/>
    <w:rsid w:val="00797813"/>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B12B0"/>
    <w:rsid w:val="007B1392"/>
    <w:rsid w:val="007B1785"/>
    <w:rsid w:val="007B18D1"/>
    <w:rsid w:val="007B215A"/>
    <w:rsid w:val="007B21B0"/>
    <w:rsid w:val="007B22DC"/>
    <w:rsid w:val="007B24F0"/>
    <w:rsid w:val="007B34DC"/>
    <w:rsid w:val="007B3A98"/>
    <w:rsid w:val="007B3B0F"/>
    <w:rsid w:val="007B3ED1"/>
    <w:rsid w:val="007B4008"/>
    <w:rsid w:val="007B49C4"/>
    <w:rsid w:val="007B4D74"/>
    <w:rsid w:val="007B4DC6"/>
    <w:rsid w:val="007B5132"/>
    <w:rsid w:val="007B5169"/>
    <w:rsid w:val="007B55E7"/>
    <w:rsid w:val="007B5E60"/>
    <w:rsid w:val="007B69E8"/>
    <w:rsid w:val="007B6C17"/>
    <w:rsid w:val="007B743C"/>
    <w:rsid w:val="007B7914"/>
    <w:rsid w:val="007C0165"/>
    <w:rsid w:val="007C02FD"/>
    <w:rsid w:val="007C0417"/>
    <w:rsid w:val="007C048B"/>
    <w:rsid w:val="007C0508"/>
    <w:rsid w:val="007C057E"/>
    <w:rsid w:val="007C0646"/>
    <w:rsid w:val="007C1541"/>
    <w:rsid w:val="007C19DF"/>
    <w:rsid w:val="007C25F8"/>
    <w:rsid w:val="007C285A"/>
    <w:rsid w:val="007C44DC"/>
    <w:rsid w:val="007C4545"/>
    <w:rsid w:val="007C45F7"/>
    <w:rsid w:val="007C46D1"/>
    <w:rsid w:val="007C47C2"/>
    <w:rsid w:val="007C4822"/>
    <w:rsid w:val="007C4B6A"/>
    <w:rsid w:val="007C4DEF"/>
    <w:rsid w:val="007C5468"/>
    <w:rsid w:val="007C55F1"/>
    <w:rsid w:val="007C58AB"/>
    <w:rsid w:val="007C6148"/>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7EA"/>
    <w:rsid w:val="007D3CAA"/>
    <w:rsid w:val="007D421B"/>
    <w:rsid w:val="007D4490"/>
    <w:rsid w:val="007D4579"/>
    <w:rsid w:val="007D51EB"/>
    <w:rsid w:val="007D5508"/>
    <w:rsid w:val="007D58BB"/>
    <w:rsid w:val="007D590C"/>
    <w:rsid w:val="007D63B1"/>
    <w:rsid w:val="007D6835"/>
    <w:rsid w:val="007D6A93"/>
    <w:rsid w:val="007D7CDE"/>
    <w:rsid w:val="007D7DC7"/>
    <w:rsid w:val="007E01AF"/>
    <w:rsid w:val="007E0578"/>
    <w:rsid w:val="007E0772"/>
    <w:rsid w:val="007E0BE6"/>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169"/>
    <w:rsid w:val="007E7764"/>
    <w:rsid w:val="007E7C7B"/>
    <w:rsid w:val="007E7E0F"/>
    <w:rsid w:val="007E7F8F"/>
    <w:rsid w:val="007F015E"/>
    <w:rsid w:val="007F1160"/>
    <w:rsid w:val="007F21B0"/>
    <w:rsid w:val="007F260E"/>
    <w:rsid w:val="007F2DE9"/>
    <w:rsid w:val="007F318A"/>
    <w:rsid w:val="007F341B"/>
    <w:rsid w:val="007F3682"/>
    <w:rsid w:val="007F3AA2"/>
    <w:rsid w:val="007F3B45"/>
    <w:rsid w:val="007F3B4A"/>
    <w:rsid w:val="007F3E3E"/>
    <w:rsid w:val="007F4786"/>
    <w:rsid w:val="007F4A9E"/>
    <w:rsid w:val="007F4ABC"/>
    <w:rsid w:val="007F4D45"/>
    <w:rsid w:val="007F4FBD"/>
    <w:rsid w:val="007F510F"/>
    <w:rsid w:val="007F545B"/>
    <w:rsid w:val="007F59B2"/>
    <w:rsid w:val="007F5F4C"/>
    <w:rsid w:val="007F632F"/>
    <w:rsid w:val="007F6607"/>
    <w:rsid w:val="007F6E05"/>
    <w:rsid w:val="007F7865"/>
    <w:rsid w:val="007F7FB3"/>
    <w:rsid w:val="0080026A"/>
    <w:rsid w:val="00800340"/>
    <w:rsid w:val="00800953"/>
    <w:rsid w:val="00801255"/>
    <w:rsid w:val="0080197B"/>
    <w:rsid w:val="00801C1F"/>
    <w:rsid w:val="008021D3"/>
    <w:rsid w:val="00802849"/>
    <w:rsid w:val="00802971"/>
    <w:rsid w:val="00803808"/>
    <w:rsid w:val="008038E3"/>
    <w:rsid w:val="008038F6"/>
    <w:rsid w:val="00804558"/>
    <w:rsid w:val="00804642"/>
    <w:rsid w:val="008047AE"/>
    <w:rsid w:val="00804A7E"/>
    <w:rsid w:val="00804B21"/>
    <w:rsid w:val="00805368"/>
    <w:rsid w:val="00805483"/>
    <w:rsid w:val="008056AF"/>
    <w:rsid w:val="0080585D"/>
    <w:rsid w:val="00806273"/>
    <w:rsid w:val="0080661F"/>
    <w:rsid w:val="00806ACD"/>
    <w:rsid w:val="00806EFD"/>
    <w:rsid w:val="00807074"/>
    <w:rsid w:val="0080723B"/>
    <w:rsid w:val="00807D96"/>
    <w:rsid w:val="00807E43"/>
    <w:rsid w:val="00807F69"/>
    <w:rsid w:val="008100FF"/>
    <w:rsid w:val="00810368"/>
    <w:rsid w:val="008108B5"/>
    <w:rsid w:val="00810BE7"/>
    <w:rsid w:val="00810C81"/>
    <w:rsid w:val="00811336"/>
    <w:rsid w:val="0081165D"/>
    <w:rsid w:val="00811954"/>
    <w:rsid w:val="00811B28"/>
    <w:rsid w:val="008125E8"/>
    <w:rsid w:val="00812862"/>
    <w:rsid w:val="00812A7A"/>
    <w:rsid w:val="0081362B"/>
    <w:rsid w:val="008141DF"/>
    <w:rsid w:val="0081450B"/>
    <w:rsid w:val="0081467F"/>
    <w:rsid w:val="00815339"/>
    <w:rsid w:val="008154F1"/>
    <w:rsid w:val="008155A2"/>
    <w:rsid w:val="0081591F"/>
    <w:rsid w:val="00815A99"/>
    <w:rsid w:val="00815C14"/>
    <w:rsid w:val="00815E5B"/>
    <w:rsid w:val="00816011"/>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A96"/>
    <w:rsid w:val="00823B36"/>
    <w:rsid w:val="008240D3"/>
    <w:rsid w:val="0082488C"/>
    <w:rsid w:val="00825134"/>
    <w:rsid w:val="008251E7"/>
    <w:rsid w:val="00825417"/>
    <w:rsid w:val="00825732"/>
    <w:rsid w:val="00825B78"/>
    <w:rsid w:val="008262BC"/>
    <w:rsid w:val="0082664F"/>
    <w:rsid w:val="008266A2"/>
    <w:rsid w:val="008267AE"/>
    <w:rsid w:val="00827060"/>
    <w:rsid w:val="00827FD1"/>
    <w:rsid w:val="00830B33"/>
    <w:rsid w:val="0083118A"/>
    <w:rsid w:val="00831784"/>
    <w:rsid w:val="00832727"/>
    <w:rsid w:val="008337C1"/>
    <w:rsid w:val="0083395B"/>
    <w:rsid w:val="00834F23"/>
    <w:rsid w:val="008353B6"/>
    <w:rsid w:val="00835FC6"/>
    <w:rsid w:val="00836909"/>
    <w:rsid w:val="00836A67"/>
    <w:rsid w:val="00836B56"/>
    <w:rsid w:val="00836CEB"/>
    <w:rsid w:val="00837BBD"/>
    <w:rsid w:val="00837C7D"/>
    <w:rsid w:val="00840E6E"/>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27B"/>
    <w:rsid w:val="0085044B"/>
    <w:rsid w:val="0085046E"/>
    <w:rsid w:val="008505B8"/>
    <w:rsid w:val="00850908"/>
    <w:rsid w:val="00850EE1"/>
    <w:rsid w:val="0085165B"/>
    <w:rsid w:val="00851779"/>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94"/>
    <w:rsid w:val="008626E9"/>
    <w:rsid w:val="008626EB"/>
    <w:rsid w:val="0086277B"/>
    <w:rsid w:val="00862EFD"/>
    <w:rsid w:val="008638FB"/>
    <w:rsid w:val="0086444C"/>
    <w:rsid w:val="008644B1"/>
    <w:rsid w:val="00864768"/>
    <w:rsid w:val="008658AB"/>
    <w:rsid w:val="00865B18"/>
    <w:rsid w:val="0086672E"/>
    <w:rsid w:val="00866CF2"/>
    <w:rsid w:val="008675EC"/>
    <w:rsid w:val="008679CE"/>
    <w:rsid w:val="008679F7"/>
    <w:rsid w:val="00867DA7"/>
    <w:rsid w:val="008705A8"/>
    <w:rsid w:val="00870973"/>
    <w:rsid w:val="008718FC"/>
    <w:rsid w:val="00871CC2"/>
    <w:rsid w:val="00871F4F"/>
    <w:rsid w:val="0087200D"/>
    <w:rsid w:val="00872131"/>
    <w:rsid w:val="008723B8"/>
    <w:rsid w:val="008725F5"/>
    <w:rsid w:val="00873147"/>
    <w:rsid w:val="00873538"/>
    <w:rsid w:val="00873664"/>
    <w:rsid w:val="0087395B"/>
    <w:rsid w:val="00873C1E"/>
    <w:rsid w:val="00873CD6"/>
    <w:rsid w:val="00873DE6"/>
    <w:rsid w:val="00873FBF"/>
    <w:rsid w:val="00874178"/>
    <w:rsid w:val="00874272"/>
    <w:rsid w:val="008743DF"/>
    <w:rsid w:val="00874719"/>
    <w:rsid w:val="00874C66"/>
    <w:rsid w:val="00874F67"/>
    <w:rsid w:val="00875070"/>
    <w:rsid w:val="008753C3"/>
    <w:rsid w:val="00875F4F"/>
    <w:rsid w:val="008762D8"/>
    <w:rsid w:val="008772D9"/>
    <w:rsid w:val="00877B29"/>
    <w:rsid w:val="008808B9"/>
    <w:rsid w:val="00880B30"/>
    <w:rsid w:val="00880F1D"/>
    <w:rsid w:val="0088172A"/>
    <w:rsid w:val="00881F90"/>
    <w:rsid w:val="00882A8C"/>
    <w:rsid w:val="00882C38"/>
    <w:rsid w:val="00882D46"/>
    <w:rsid w:val="00883FC6"/>
    <w:rsid w:val="00884ADD"/>
    <w:rsid w:val="008851C4"/>
    <w:rsid w:val="008853A7"/>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87EF0"/>
    <w:rsid w:val="00890139"/>
    <w:rsid w:val="0089160E"/>
    <w:rsid w:val="00891765"/>
    <w:rsid w:val="00891BAB"/>
    <w:rsid w:val="008921B1"/>
    <w:rsid w:val="00892687"/>
    <w:rsid w:val="00893386"/>
    <w:rsid w:val="0089363C"/>
    <w:rsid w:val="00893657"/>
    <w:rsid w:val="00893671"/>
    <w:rsid w:val="008941FB"/>
    <w:rsid w:val="00894565"/>
    <w:rsid w:val="00894FE5"/>
    <w:rsid w:val="00895075"/>
    <w:rsid w:val="008950D6"/>
    <w:rsid w:val="00895B46"/>
    <w:rsid w:val="00896474"/>
    <w:rsid w:val="00896DBC"/>
    <w:rsid w:val="00897898"/>
    <w:rsid w:val="00897B37"/>
    <w:rsid w:val="00897B59"/>
    <w:rsid w:val="00897C6C"/>
    <w:rsid w:val="00897D1A"/>
    <w:rsid w:val="008A04FA"/>
    <w:rsid w:val="008A05A1"/>
    <w:rsid w:val="008A0905"/>
    <w:rsid w:val="008A0B02"/>
    <w:rsid w:val="008A0E0D"/>
    <w:rsid w:val="008A155C"/>
    <w:rsid w:val="008A180E"/>
    <w:rsid w:val="008A197C"/>
    <w:rsid w:val="008A1E57"/>
    <w:rsid w:val="008A1FF0"/>
    <w:rsid w:val="008A2545"/>
    <w:rsid w:val="008A2636"/>
    <w:rsid w:val="008A2C7F"/>
    <w:rsid w:val="008A35DB"/>
    <w:rsid w:val="008A3AF9"/>
    <w:rsid w:val="008A3FBE"/>
    <w:rsid w:val="008A4013"/>
    <w:rsid w:val="008A45E8"/>
    <w:rsid w:val="008A482C"/>
    <w:rsid w:val="008A4C9C"/>
    <w:rsid w:val="008A5592"/>
    <w:rsid w:val="008A6041"/>
    <w:rsid w:val="008A60F8"/>
    <w:rsid w:val="008A69FE"/>
    <w:rsid w:val="008A6EC7"/>
    <w:rsid w:val="008A6F36"/>
    <w:rsid w:val="008A7286"/>
    <w:rsid w:val="008A7B50"/>
    <w:rsid w:val="008B0077"/>
    <w:rsid w:val="008B03C5"/>
    <w:rsid w:val="008B0641"/>
    <w:rsid w:val="008B0EB7"/>
    <w:rsid w:val="008B138E"/>
    <w:rsid w:val="008B1C78"/>
    <w:rsid w:val="008B1F87"/>
    <w:rsid w:val="008B28BD"/>
    <w:rsid w:val="008B2E96"/>
    <w:rsid w:val="008B2F53"/>
    <w:rsid w:val="008B3006"/>
    <w:rsid w:val="008B3139"/>
    <w:rsid w:val="008B3B50"/>
    <w:rsid w:val="008B3D47"/>
    <w:rsid w:val="008B407F"/>
    <w:rsid w:val="008B43E5"/>
    <w:rsid w:val="008B44CB"/>
    <w:rsid w:val="008B46D2"/>
    <w:rsid w:val="008B4B9C"/>
    <w:rsid w:val="008B5253"/>
    <w:rsid w:val="008B53D8"/>
    <w:rsid w:val="008B63BE"/>
    <w:rsid w:val="008B640E"/>
    <w:rsid w:val="008B6505"/>
    <w:rsid w:val="008B688D"/>
    <w:rsid w:val="008B70EE"/>
    <w:rsid w:val="008B715C"/>
    <w:rsid w:val="008B75B8"/>
    <w:rsid w:val="008B7D39"/>
    <w:rsid w:val="008C0EAD"/>
    <w:rsid w:val="008C1442"/>
    <w:rsid w:val="008C1693"/>
    <w:rsid w:val="008C17E0"/>
    <w:rsid w:val="008C19D9"/>
    <w:rsid w:val="008C1A5E"/>
    <w:rsid w:val="008C1A81"/>
    <w:rsid w:val="008C1F3B"/>
    <w:rsid w:val="008C29FE"/>
    <w:rsid w:val="008C2B47"/>
    <w:rsid w:val="008C32CA"/>
    <w:rsid w:val="008C3953"/>
    <w:rsid w:val="008C3967"/>
    <w:rsid w:val="008C431E"/>
    <w:rsid w:val="008C4610"/>
    <w:rsid w:val="008C4EC5"/>
    <w:rsid w:val="008C54BD"/>
    <w:rsid w:val="008C54C4"/>
    <w:rsid w:val="008C6056"/>
    <w:rsid w:val="008C6404"/>
    <w:rsid w:val="008C6628"/>
    <w:rsid w:val="008C69C9"/>
    <w:rsid w:val="008C6E38"/>
    <w:rsid w:val="008C6F75"/>
    <w:rsid w:val="008C7C18"/>
    <w:rsid w:val="008C7CC4"/>
    <w:rsid w:val="008C7CE8"/>
    <w:rsid w:val="008D047D"/>
    <w:rsid w:val="008D0B31"/>
    <w:rsid w:val="008D0B4C"/>
    <w:rsid w:val="008D0E55"/>
    <w:rsid w:val="008D14C4"/>
    <w:rsid w:val="008D1907"/>
    <w:rsid w:val="008D1964"/>
    <w:rsid w:val="008D1AD5"/>
    <w:rsid w:val="008D221A"/>
    <w:rsid w:val="008D2427"/>
    <w:rsid w:val="008D24D6"/>
    <w:rsid w:val="008D24E1"/>
    <w:rsid w:val="008D3C1E"/>
    <w:rsid w:val="008D3E6A"/>
    <w:rsid w:val="008D402D"/>
    <w:rsid w:val="008D4B22"/>
    <w:rsid w:val="008D512E"/>
    <w:rsid w:val="008D53E2"/>
    <w:rsid w:val="008D5561"/>
    <w:rsid w:val="008D578F"/>
    <w:rsid w:val="008D5908"/>
    <w:rsid w:val="008D5AF1"/>
    <w:rsid w:val="008D6393"/>
    <w:rsid w:val="008D63BF"/>
    <w:rsid w:val="008D6A6E"/>
    <w:rsid w:val="008D716B"/>
    <w:rsid w:val="008D781F"/>
    <w:rsid w:val="008D7DBE"/>
    <w:rsid w:val="008E02B7"/>
    <w:rsid w:val="008E0DE1"/>
    <w:rsid w:val="008E20BE"/>
    <w:rsid w:val="008E241B"/>
    <w:rsid w:val="008E2EE4"/>
    <w:rsid w:val="008E3096"/>
    <w:rsid w:val="008E330C"/>
    <w:rsid w:val="008E332F"/>
    <w:rsid w:val="008E4114"/>
    <w:rsid w:val="008E4142"/>
    <w:rsid w:val="008E45EA"/>
    <w:rsid w:val="008E4A1A"/>
    <w:rsid w:val="008E4A3B"/>
    <w:rsid w:val="008E4B16"/>
    <w:rsid w:val="008E5E01"/>
    <w:rsid w:val="008E5EAC"/>
    <w:rsid w:val="008E69A3"/>
    <w:rsid w:val="008E6DEF"/>
    <w:rsid w:val="008E7CC9"/>
    <w:rsid w:val="008F02A1"/>
    <w:rsid w:val="008F0E69"/>
    <w:rsid w:val="008F12FF"/>
    <w:rsid w:val="008F3183"/>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90034D"/>
    <w:rsid w:val="00900EC7"/>
    <w:rsid w:val="00900FFC"/>
    <w:rsid w:val="009011F9"/>
    <w:rsid w:val="00901244"/>
    <w:rsid w:val="00901979"/>
    <w:rsid w:val="00902357"/>
    <w:rsid w:val="0090242A"/>
    <w:rsid w:val="00902A67"/>
    <w:rsid w:val="00902C85"/>
    <w:rsid w:val="00902CAD"/>
    <w:rsid w:val="00902FC5"/>
    <w:rsid w:val="009030F7"/>
    <w:rsid w:val="009034D9"/>
    <w:rsid w:val="009046C9"/>
    <w:rsid w:val="009046F1"/>
    <w:rsid w:val="0090483E"/>
    <w:rsid w:val="00904883"/>
    <w:rsid w:val="00904B0A"/>
    <w:rsid w:val="00904F84"/>
    <w:rsid w:val="009055DD"/>
    <w:rsid w:val="0090616A"/>
    <w:rsid w:val="00906527"/>
    <w:rsid w:val="00906BD9"/>
    <w:rsid w:val="00906C2B"/>
    <w:rsid w:val="00906EA0"/>
    <w:rsid w:val="00907D07"/>
    <w:rsid w:val="00907F4C"/>
    <w:rsid w:val="0091006A"/>
    <w:rsid w:val="00910B57"/>
    <w:rsid w:val="0091148A"/>
    <w:rsid w:val="009119DB"/>
    <w:rsid w:val="009121DE"/>
    <w:rsid w:val="00912347"/>
    <w:rsid w:val="0091268D"/>
    <w:rsid w:val="009129C1"/>
    <w:rsid w:val="00912ADE"/>
    <w:rsid w:val="00912EBE"/>
    <w:rsid w:val="00913B74"/>
    <w:rsid w:val="00913EBB"/>
    <w:rsid w:val="009141BB"/>
    <w:rsid w:val="00914B55"/>
    <w:rsid w:val="00914DC4"/>
    <w:rsid w:val="00915329"/>
    <w:rsid w:val="0091588C"/>
    <w:rsid w:val="00915DB5"/>
    <w:rsid w:val="00915DF4"/>
    <w:rsid w:val="00915FA4"/>
    <w:rsid w:val="00916068"/>
    <w:rsid w:val="00916925"/>
    <w:rsid w:val="00916BF5"/>
    <w:rsid w:val="00916CCB"/>
    <w:rsid w:val="00916F79"/>
    <w:rsid w:val="00917323"/>
    <w:rsid w:val="00917B23"/>
    <w:rsid w:val="00917DB8"/>
    <w:rsid w:val="00920CBC"/>
    <w:rsid w:val="00920EC8"/>
    <w:rsid w:val="00921102"/>
    <w:rsid w:val="00921305"/>
    <w:rsid w:val="00921783"/>
    <w:rsid w:val="009217D9"/>
    <w:rsid w:val="00921AC8"/>
    <w:rsid w:val="0092206F"/>
    <w:rsid w:val="00922482"/>
    <w:rsid w:val="00922A2B"/>
    <w:rsid w:val="00923375"/>
    <w:rsid w:val="00924A6C"/>
    <w:rsid w:val="00924ED4"/>
    <w:rsid w:val="00924F63"/>
    <w:rsid w:val="0092518C"/>
    <w:rsid w:val="0092646C"/>
    <w:rsid w:val="009264AC"/>
    <w:rsid w:val="00926BB3"/>
    <w:rsid w:val="00926E05"/>
    <w:rsid w:val="009271AB"/>
    <w:rsid w:val="00927281"/>
    <w:rsid w:val="009273B8"/>
    <w:rsid w:val="0092747B"/>
    <w:rsid w:val="00927A20"/>
    <w:rsid w:val="00930216"/>
    <w:rsid w:val="00930298"/>
    <w:rsid w:val="009302A6"/>
    <w:rsid w:val="009302BA"/>
    <w:rsid w:val="009304A3"/>
    <w:rsid w:val="00930956"/>
    <w:rsid w:val="00930AD3"/>
    <w:rsid w:val="009312AA"/>
    <w:rsid w:val="00931325"/>
    <w:rsid w:val="00931353"/>
    <w:rsid w:val="009319DC"/>
    <w:rsid w:val="00931AAD"/>
    <w:rsid w:val="00931D4B"/>
    <w:rsid w:val="00931E6D"/>
    <w:rsid w:val="00932D04"/>
    <w:rsid w:val="00932E9E"/>
    <w:rsid w:val="00933425"/>
    <w:rsid w:val="00933B8A"/>
    <w:rsid w:val="00934141"/>
    <w:rsid w:val="009341AA"/>
    <w:rsid w:val="0093429A"/>
    <w:rsid w:val="009347AB"/>
    <w:rsid w:val="009352D3"/>
    <w:rsid w:val="009355BB"/>
    <w:rsid w:val="00935789"/>
    <w:rsid w:val="009359C5"/>
    <w:rsid w:val="00935CFA"/>
    <w:rsid w:val="009361E8"/>
    <w:rsid w:val="00936247"/>
    <w:rsid w:val="00936501"/>
    <w:rsid w:val="009366AD"/>
    <w:rsid w:val="00936BA1"/>
    <w:rsid w:val="00937210"/>
    <w:rsid w:val="00937284"/>
    <w:rsid w:val="009372C2"/>
    <w:rsid w:val="009375F7"/>
    <w:rsid w:val="009377A1"/>
    <w:rsid w:val="009406F1"/>
    <w:rsid w:val="00940850"/>
    <w:rsid w:val="00940B1D"/>
    <w:rsid w:val="00941C4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549"/>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6B9A"/>
    <w:rsid w:val="0095702D"/>
    <w:rsid w:val="009571A6"/>
    <w:rsid w:val="0095736F"/>
    <w:rsid w:val="0095752A"/>
    <w:rsid w:val="009577C1"/>
    <w:rsid w:val="009602BA"/>
    <w:rsid w:val="009614EB"/>
    <w:rsid w:val="009615D7"/>
    <w:rsid w:val="009622A9"/>
    <w:rsid w:val="00962D17"/>
    <w:rsid w:val="00963104"/>
    <w:rsid w:val="00963D17"/>
    <w:rsid w:val="00963D45"/>
    <w:rsid w:val="009640B5"/>
    <w:rsid w:val="00964459"/>
    <w:rsid w:val="009657D5"/>
    <w:rsid w:val="009659CB"/>
    <w:rsid w:val="00965F9F"/>
    <w:rsid w:val="00966141"/>
    <w:rsid w:val="009662EC"/>
    <w:rsid w:val="009663F2"/>
    <w:rsid w:val="00966611"/>
    <w:rsid w:val="009669CC"/>
    <w:rsid w:val="00967655"/>
    <w:rsid w:val="00967812"/>
    <w:rsid w:val="00970F12"/>
    <w:rsid w:val="009710BF"/>
    <w:rsid w:val="00971874"/>
    <w:rsid w:val="00971F83"/>
    <w:rsid w:val="0097205A"/>
    <w:rsid w:val="00972061"/>
    <w:rsid w:val="0097245C"/>
    <w:rsid w:val="009724DC"/>
    <w:rsid w:val="009725FE"/>
    <w:rsid w:val="009726D4"/>
    <w:rsid w:val="0097282B"/>
    <w:rsid w:val="00972DAC"/>
    <w:rsid w:val="00973338"/>
    <w:rsid w:val="00973A35"/>
    <w:rsid w:val="0097431B"/>
    <w:rsid w:val="00974A1E"/>
    <w:rsid w:val="00974B4A"/>
    <w:rsid w:val="0097559A"/>
    <w:rsid w:val="00975D48"/>
    <w:rsid w:val="00976247"/>
    <w:rsid w:val="00976546"/>
    <w:rsid w:val="00976FCF"/>
    <w:rsid w:val="00977C5E"/>
    <w:rsid w:val="00980BAC"/>
    <w:rsid w:val="00980DF0"/>
    <w:rsid w:val="00980F3F"/>
    <w:rsid w:val="00981D1C"/>
    <w:rsid w:val="00981E59"/>
    <w:rsid w:val="009821B4"/>
    <w:rsid w:val="00982214"/>
    <w:rsid w:val="009823D4"/>
    <w:rsid w:val="00982474"/>
    <w:rsid w:val="00982E08"/>
    <w:rsid w:val="00983285"/>
    <w:rsid w:val="00984672"/>
    <w:rsid w:val="009849D3"/>
    <w:rsid w:val="00984F97"/>
    <w:rsid w:val="00985194"/>
    <w:rsid w:val="0098569D"/>
    <w:rsid w:val="00985A09"/>
    <w:rsid w:val="00985A0E"/>
    <w:rsid w:val="00985D8C"/>
    <w:rsid w:val="00986277"/>
    <w:rsid w:val="009866A3"/>
    <w:rsid w:val="0098693D"/>
    <w:rsid w:val="009874D5"/>
    <w:rsid w:val="00990343"/>
    <w:rsid w:val="009905E1"/>
    <w:rsid w:val="0099064C"/>
    <w:rsid w:val="009906BB"/>
    <w:rsid w:val="0099078A"/>
    <w:rsid w:val="0099097F"/>
    <w:rsid w:val="00990CF6"/>
    <w:rsid w:val="00992097"/>
    <w:rsid w:val="00992869"/>
    <w:rsid w:val="00992914"/>
    <w:rsid w:val="00992C47"/>
    <w:rsid w:val="009930A4"/>
    <w:rsid w:val="0099337F"/>
    <w:rsid w:val="00993776"/>
    <w:rsid w:val="00993832"/>
    <w:rsid w:val="00993F15"/>
    <w:rsid w:val="009944B9"/>
    <w:rsid w:val="009947D5"/>
    <w:rsid w:val="00994B69"/>
    <w:rsid w:val="00994E90"/>
    <w:rsid w:val="009953CE"/>
    <w:rsid w:val="0099551B"/>
    <w:rsid w:val="0099552E"/>
    <w:rsid w:val="009955E2"/>
    <w:rsid w:val="00995629"/>
    <w:rsid w:val="009959A5"/>
    <w:rsid w:val="00995C16"/>
    <w:rsid w:val="00995FB0"/>
    <w:rsid w:val="0099625A"/>
    <w:rsid w:val="009965BC"/>
    <w:rsid w:val="0099662E"/>
    <w:rsid w:val="00997258"/>
    <w:rsid w:val="00997C19"/>
    <w:rsid w:val="009A023B"/>
    <w:rsid w:val="009A0415"/>
    <w:rsid w:val="009A04CD"/>
    <w:rsid w:val="009A097C"/>
    <w:rsid w:val="009A0A30"/>
    <w:rsid w:val="009A177E"/>
    <w:rsid w:val="009A1AE9"/>
    <w:rsid w:val="009A22E6"/>
    <w:rsid w:val="009A2486"/>
    <w:rsid w:val="009A2690"/>
    <w:rsid w:val="009A31FA"/>
    <w:rsid w:val="009A3307"/>
    <w:rsid w:val="009A34FF"/>
    <w:rsid w:val="009A3520"/>
    <w:rsid w:val="009A3547"/>
    <w:rsid w:val="009A39FF"/>
    <w:rsid w:val="009A3CB5"/>
    <w:rsid w:val="009A3EAF"/>
    <w:rsid w:val="009A3F33"/>
    <w:rsid w:val="009A4193"/>
    <w:rsid w:val="009A422F"/>
    <w:rsid w:val="009A5501"/>
    <w:rsid w:val="009A5AE0"/>
    <w:rsid w:val="009A6621"/>
    <w:rsid w:val="009A6AEA"/>
    <w:rsid w:val="009A6CC5"/>
    <w:rsid w:val="009A70B8"/>
    <w:rsid w:val="009B025F"/>
    <w:rsid w:val="009B13AA"/>
    <w:rsid w:val="009B1F3A"/>
    <w:rsid w:val="009B2766"/>
    <w:rsid w:val="009B32F0"/>
    <w:rsid w:val="009B337F"/>
    <w:rsid w:val="009B33BF"/>
    <w:rsid w:val="009B3EB4"/>
    <w:rsid w:val="009B3F21"/>
    <w:rsid w:val="009B4145"/>
    <w:rsid w:val="009B42BE"/>
    <w:rsid w:val="009B4E27"/>
    <w:rsid w:val="009B4F77"/>
    <w:rsid w:val="009B54A0"/>
    <w:rsid w:val="009B5973"/>
    <w:rsid w:val="009B5A38"/>
    <w:rsid w:val="009B5B48"/>
    <w:rsid w:val="009B62E6"/>
    <w:rsid w:val="009B67C4"/>
    <w:rsid w:val="009B6A3F"/>
    <w:rsid w:val="009B6C5A"/>
    <w:rsid w:val="009B71E1"/>
    <w:rsid w:val="009B777A"/>
    <w:rsid w:val="009C0448"/>
    <w:rsid w:val="009C0615"/>
    <w:rsid w:val="009C06B1"/>
    <w:rsid w:val="009C0CF8"/>
    <w:rsid w:val="009C125A"/>
    <w:rsid w:val="009C1A83"/>
    <w:rsid w:val="009C1EB2"/>
    <w:rsid w:val="009C25D4"/>
    <w:rsid w:val="009C2675"/>
    <w:rsid w:val="009C2839"/>
    <w:rsid w:val="009C2DC4"/>
    <w:rsid w:val="009C3042"/>
    <w:rsid w:val="009C3128"/>
    <w:rsid w:val="009C31A0"/>
    <w:rsid w:val="009C386A"/>
    <w:rsid w:val="009C3BD5"/>
    <w:rsid w:val="009C3E9C"/>
    <w:rsid w:val="009C4118"/>
    <w:rsid w:val="009C4A32"/>
    <w:rsid w:val="009C63AB"/>
    <w:rsid w:val="009C69D0"/>
    <w:rsid w:val="009C69F4"/>
    <w:rsid w:val="009C6C0E"/>
    <w:rsid w:val="009C7163"/>
    <w:rsid w:val="009C77A3"/>
    <w:rsid w:val="009D0570"/>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074"/>
    <w:rsid w:val="009D66B9"/>
    <w:rsid w:val="009D6B77"/>
    <w:rsid w:val="009D6CE1"/>
    <w:rsid w:val="009D6DA4"/>
    <w:rsid w:val="009D7970"/>
    <w:rsid w:val="009E065B"/>
    <w:rsid w:val="009E1321"/>
    <w:rsid w:val="009E14B2"/>
    <w:rsid w:val="009E17CF"/>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854"/>
    <w:rsid w:val="009E79CF"/>
    <w:rsid w:val="009E7F2E"/>
    <w:rsid w:val="009F009C"/>
    <w:rsid w:val="009F0345"/>
    <w:rsid w:val="009F04F2"/>
    <w:rsid w:val="009F0A8F"/>
    <w:rsid w:val="009F231C"/>
    <w:rsid w:val="009F2447"/>
    <w:rsid w:val="009F2512"/>
    <w:rsid w:val="009F29FC"/>
    <w:rsid w:val="009F2C7D"/>
    <w:rsid w:val="009F40CE"/>
    <w:rsid w:val="009F446B"/>
    <w:rsid w:val="009F4CDA"/>
    <w:rsid w:val="009F517F"/>
    <w:rsid w:val="009F59BF"/>
    <w:rsid w:val="009F5DFF"/>
    <w:rsid w:val="009F5F68"/>
    <w:rsid w:val="009F776E"/>
    <w:rsid w:val="009F7D5D"/>
    <w:rsid w:val="00A00320"/>
    <w:rsid w:val="00A00F42"/>
    <w:rsid w:val="00A01519"/>
    <w:rsid w:val="00A017F6"/>
    <w:rsid w:val="00A0195A"/>
    <w:rsid w:val="00A01AB3"/>
    <w:rsid w:val="00A01C96"/>
    <w:rsid w:val="00A01CAC"/>
    <w:rsid w:val="00A02D3C"/>
    <w:rsid w:val="00A032EA"/>
    <w:rsid w:val="00A03423"/>
    <w:rsid w:val="00A03952"/>
    <w:rsid w:val="00A0408F"/>
    <w:rsid w:val="00A04B44"/>
    <w:rsid w:val="00A04E68"/>
    <w:rsid w:val="00A0504B"/>
    <w:rsid w:val="00A05975"/>
    <w:rsid w:val="00A05D1C"/>
    <w:rsid w:val="00A05EAA"/>
    <w:rsid w:val="00A0608D"/>
    <w:rsid w:val="00A060BE"/>
    <w:rsid w:val="00A06211"/>
    <w:rsid w:val="00A0695E"/>
    <w:rsid w:val="00A07368"/>
    <w:rsid w:val="00A07D26"/>
    <w:rsid w:val="00A1036E"/>
    <w:rsid w:val="00A10490"/>
    <w:rsid w:val="00A104A1"/>
    <w:rsid w:val="00A10D80"/>
    <w:rsid w:val="00A10ED0"/>
    <w:rsid w:val="00A10FC7"/>
    <w:rsid w:val="00A11671"/>
    <w:rsid w:val="00A1187C"/>
    <w:rsid w:val="00A118BF"/>
    <w:rsid w:val="00A11A16"/>
    <w:rsid w:val="00A11FC2"/>
    <w:rsid w:val="00A12CCC"/>
    <w:rsid w:val="00A12D1A"/>
    <w:rsid w:val="00A12E07"/>
    <w:rsid w:val="00A12F3D"/>
    <w:rsid w:val="00A13810"/>
    <w:rsid w:val="00A13A4E"/>
    <w:rsid w:val="00A14816"/>
    <w:rsid w:val="00A15566"/>
    <w:rsid w:val="00A1576F"/>
    <w:rsid w:val="00A15B2D"/>
    <w:rsid w:val="00A161DF"/>
    <w:rsid w:val="00A16297"/>
    <w:rsid w:val="00A163CD"/>
    <w:rsid w:val="00A16778"/>
    <w:rsid w:val="00A169F6"/>
    <w:rsid w:val="00A16B57"/>
    <w:rsid w:val="00A17322"/>
    <w:rsid w:val="00A17C81"/>
    <w:rsid w:val="00A20003"/>
    <w:rsid w:val="00A20224"/>
    <w:rsid w:val="00A21424"/>
    <w:rsid w:val="00A21997"/>
    <w:rsid w:val="00A220D3"/>
    <w:rsid w:val="00A23A98"/>
    <w:rsid w:val="00A24217"/>
    <w:rsid w:val="00A244E9"/>
    <w:rsid w:val="00A24622"/>
    <w:rsid w:val="00A246A3"/>
    <w:rsid w:val="00A24B43"/>
    <w:rsid w:val="00A2521F"/>
    <w:rsid w:val="00A259A8"/>
    <w:rsid w:val="00A25ABB"/>
    <w:rsid w:val="00A25E39"/>
    <w:rsid w:val="00A26558"/>
    <w:rsid w:val="00A267F3"/>
    <w:rsid w:val="00A26827"/>
    <w:rsid w:val="00A26D47"/>
    <w:rsid w:val="00A26DA7"/>
    <w:rsid w:val="00A26F41"/>
    <w:rsid w:val="00A26F88"/>
    <w:rsid w:val="00A275D1"/>
    <w:rsid w:val="00A27B57"/>
    <w:rsid w:val="00A301A9"/>
    <w:rsid w:val="00A30607"/>
    <w:rsid w:val="00A3131C"/>
    <w:rsid w:val="00A313B3"/>
    <w:rsid w:val="00A31C38"/>
    <w:rsid w:val="00A31C3A"/>
    <w:rsid w:val="00A31D00"/>
    <w:rsid w:val="00A32051"/>
    <w:rsid w:val="00A32AE0"/>
    <w:rsid w:val="00A32B77"/>
    <w:rsid w:val="00A32BB4"/>
    <w:rsid w:val="00A33B02"/>
    <w:rsid w:val="00A33CCF"/>
    <w:rsid w:val="00A3541F"/>
    <w:rsid w:val="00A35B3D"/>
    <w:rsid w:val="00A35BE0"/>
    <w:rsid w:val="00A35D65"/>
    <w:rsid w:val="00A36CF6"/>
    <w:rsid w:val="00A36EC5"/>
    <w:rsid w:val="00A377A2"/>
    <w:rsid w:val="00A37EDA"/>
    <w:rsid w:val="00A4035D"/>
    <w:rsid w:val="00A41358"/>
    <w:rsid w:val="00A413A3"/>
    <w:rsid w:val="00A42168"/>
    <w:rsid w:val="00A43270"/>
    <w:rsid w:val="00A438F1"/>
    <w:rsid w:val="00A43FF0"/>
    <w:rsid w:val="00A441F0"/>
    <w:rsid w:val="00A4430C"/>
    <w:rsid w:val="00A4539E"/>
    <w:rsid w:val="00A46080"/>
    <w:rsid w:val="00A461CB"/>
    <w:rsid w:val="00A46672"/>
    <w:rsid w:val="00A46C6C"/>
    <w:rsid w:val="00A46EB1"/>
    <w:rsid w:val="00A47127"/>
    <w:rsid w:val="00A4778A"/>
    <w:rsid w:val="00A47A54"/>
    <w:rsid w:val="00A47C38"/>
    <w:rsid w:val="00A47C59"/>
    <w:rsid w:val="00A5019B"/>
    <w:rsid w:val="00A503E8"/>
    <w:rsid w:val="00A506A4"/>
    <w:rsid w:val="00A50FEC"/>
    <w:rsid w:val="00A51AFA"/>
    <w:rsid w:val="00A51FC3"/>
    <w:rsid w:val="00A524C6"/>
    <w:rsid w:val="00A532FC"/>
    <w:rsid w:val="00A5342C"/>
    <w:rsid w:val="00A53624"/>
    <w:rsid w:val="00A54803"/>
    <w:rsid w:val="00A54F72"/>
    <w:rsid w:val="00A5505A"/>
    <w:rsid w:val="00A55B98"/>
    <w:rsid w:val="00A565B6"/>
    <w:rsid w:val="00A567E2"/>
    <w:rsid w:val="00A56806"/>
    <w:rsid w:val="00A5792A"/>
    <w:rsid w:val="00A57C9A"/>
    <w:rsid w:val="00A57F15"/>
    <w:rsid w:val="00A60066"/>
    <w:rsid w:val="00A60179"/>
    <w:rsid w:val="00A60D65"/>
    <w:rsid w:val="00A615D8"/>
    <w:rsid w:val="00A61782"/>
    <w:rsid w:val="00A6179E"/>
    <w:rsid w:val="00A61DBD"/>
    <w:rsid w:val="00A61FDA"/>
    <w:rsid w:val="00A623E8"/>
    <w:rsid w:val="00A62E3E"/>
    <w:rsid w:val="00A62F0F"/>
    <w:rsid w:val="00A63850"/>
    <w:rsid w:val="00A6449B"/>
    <w:rsid w:val="00A64511"/>
    <w:rsid w:val="00A64787"/>
    <w:rsid w:val="00A648E9"/>
    <w:rsid w:val="00A64C82"/>
    <w:rsid w:val="00A6643C"/>
    <w:rsid w:val="00A6654A"/>
    <w:rsid w:val="00A666BD"/>
    <w:rsid w:val="00A66875"/>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15BE"/>
    <w:rsid w:val="00A819E6"/>
    <w:rsid w:val="00A8226A"/>
    <w:rsid w:val="00A82561"/>
    <w:rsid w:val="00A82941"/>
    <w:rsid w:val="00A834D6"/>
    <w:rsid w:val="00A83AD4"/>
    <w:rsid w:val="00A83DBC"/>
    <w:rsid w:val="00A846AF"/>
    <w:rsid w:val="00A84746"/>
    <w:rsid w:val="00A847AE"/>
    <w:rsid w:val="00A849DC"/>
    <w:rsid w:val="00A84D2C"/>
    <w:rsid w:val="00A85084"/>
    <w:rsid w:val="00A855FE"/>
    <w:rsid w:val="00A85836"/>
    <w:rsid w:val="00A85DC6"/>
    <w:rsid w:val="00A85E79"/>
    <w:rsid w:val="00A85F29"/>
    <w:rsid w:val="00A8613B"/>
    <w:rsid w:val="00A86203"/>
    <w:rsid w:val="00A864C8"/>
    <w:rsid w:val="00A86D62"/>
    <w:rsid w:val="00A86E46"/>
    <w:rsid w:val="00A8715B"/>
    <w:rsid w:val="00A871B6"/>
    <w:rsid w:val="00A87951"/>
    <w:rsid w:val="00A87982"/>
    <w:rsid w:val="00A87C2F"/>
    <w:rsid w:val="00A90459"/>
    <w:rsid w:val="00A904F2"/>
    <w:rsid w:val="00A90A9D"/>
    <w:rsid w:val="00A911A0"/>
    <w:rsid w:val="00A91363"/>
    <w:rsid w:val="00A91450"/>
    <w:rsid w:val="00A91B63"/>
    <w:rsid w:val="00A920B1"/>
    <w:rsid w:val="00A92564"/>
    <w:rsid w:val="00A92DB9"/>
    <w:rsid w:val="00A93517"/>
    <w:rsid w:val="00A93738"/>
    <w:rsid w:val="00A94084"/>
    <w:rsid w:val="00A9446E"/>
    <w:rsid w:val="00A94940"/>
    <w:rsid w:val="00A95EE6"/>
    <w:rsid w:val="00A96852"/>
    <w:rsid w:val="00A96C21"/>
    <w:rsid w:val="00A975A0"/>
    <w:rsid w:val="00A9791D"/>
    <w:rsid w:val="00A97C3B"/>
    <w:rsid w:val="00A97D4A"/>
    <w:rsid w:val="00A97DB8"/>
    <w:rsid w:val="00AA0209"/>
    <w:rsid w:val="00AA03A6"/>
    <w:rsid w:val="00AA1128"/>
    <w:rsid w:val="00AA1A7C"/>
    <w:rsid w:val="00AA1ADA"/>
    <w:rsid w:val="00AA1E56"/>
    <w:rsid w:val="00AA20B3"/>
    <w:rsid w:val="00AA29FC"/>
    <w:rsid w:val="00AA2A7D"/>
    <w:rsid w:val="00AA2A95"/>
    <w:rsid w:val="00AA2ECC"/>
    <w:rsid w:val="00AA3375"/>
    <w:rsid w:val="00AA3A3E"/>
    <w:rsid w:val="00AA3B94"/>
    <w:rsid w:val="00AA3C94"/>
    <w:rsid w:val="00AA3D97"/>
    <w:rsid w:val="00AA41D4"/>
    <w:rsid w:val="00AA4203"/>
    <w:rsid w:val="00AA4775"/>
    <w:rsid w:val="00AA488F"/>
    <w:rsid w:val="00AA53CA"/>
    <w:rsid w:val="00AA5515"/>
    <w:rsid w:val="00AA567F"/>
    <w:rsid w:val="00AA583C"/>
    <w:rsid w:val="00AA6137"/>
    <w:rsid w:val="00AA65CF"/>
    <w:rsid w:val="00AA6822"/>
    <w:rsid w:val="00AA6A88"/>
    <w:rsid w:val="00AB02DD"/>
    <w:rsid w:val="00AB045C"/>
    <w:rsid w:val="00AB05BB"/>
    <w:rsid w:val="00AB090C"/>
    <w:rsid w:val="00AB0F9A"/>
    <w:rsid w:val="00AB1160"/>
    <w:rsid w:val="00AB1411"/>
    <w:rsid w:val="00AB142E"/>
    <w:rsid w:val="00AB169A"/>
    <w:rsid w:val="00AB1805"/>
    <w:rsid w:val="00AB1C10"/>
    <w:rsid w:val="00AB1D81"/>
    <w:rsid w:val="00AB2082"/>
    <w:rsid w:val="00AB212D"/>
    <w:rsid w:val="00AB316A"/>
    <w:rsid w:val="00AB32C1"/>
    <w:rsid w:val="00AB3552"/>
    <w:rsid w:val="00AB49C3"/>
    <w:rsid w:val="00AB4F48"/>
    <w:rsid w:val="00AB55F8"/>
    <w:rsid w:val="00AB5A52"/>
    <w:rsid w:val="00AB5DF2"/>
    <w:rsid w:val="00AB6489"/>
    <w:rsid w:val="00AB6C4D"/>
    <w:rsid w:val="00AB6F59"/>
    <w:rsid w:val="00AB7736"/>
    <w:rsid w:val="00AB7866"/>
    <w:rsid w:val="00AC0037"/>
    <w:rsid w:val="00AC1624"/>
    <w:rsid w:val="00AC1D3B"/>
    <w:rsid w:val="00AC2165"/>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6FB7"/>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2FA"/>
    <w:rsid w:val="00AD441D"/>
    <w:rsid w:val="00AD44C4"/>
    <w:rsid w:val="00AD4838"/>
    <w:rsid w:val="00AD4D79"/>
    <w:rsid w:val="00AD5420"/>
    <w:rsid w:val="00AD56CF"/>
    <w:rsid w:val="00AD5DDB"/>
    <w:rsid w:val="00AD5E3E"/>
    <w:rsid w:val="00AD60B8"/>
    <w:rsid w:val="00AD60EF"/>
    <w:rsid w:val="00AD612C"/>
    <w:rsid w:val="00AD7261"/>
    <w:rsid w:val="00AD734C"/>
    <w:rsid w:val="00AD7499"/>
    <w:rsid w:val="00AD7922"/>
    <w:rsid w:val="00AE0413"/>
    <w:rsid w:val="00AE05BF"/>
    <w:rsid w:val="00AE0D61"/>
    <w:rsid w:val="00AE0D8D"/>
    <w:rsid w:val="00AE23C8"/>
    <w:rsid w:val="00AE2470"/>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171"/>
    <w:rsid w:val="00AF21B7"/>
    <w:rsid w:val="00AF23D9"/>
    <w:rsid w:val="00AF290E"/>
    <w:rsid w:val="00AF29FA"/>
    <w:rsid w:val="00AF2C4F"/>
    <w:rsid w:val="00AF37D5"/>
    <w:rsid w:val="00AF381B"/>
    <w:rsid w:val="00AF3DBB"/>
    <w:rsid w:val="00AF3F63"/>
    <w:rsid w:val="00AF4345"/>
    <w:rsid w:val="00AF43C7"/>
    <w:rsid w:val="00AF4423"/>
    <w:rsid w:val="00AF463B"/>
    <w:rsid w:val="00AF498C"/>
    <w:rsid w:val="00AF4CC5"/>
    <w:rsid w:val="00AF5319"/>
    <w:rsid w:val="00AF608B"/>
    <w:rsid w:val="00AF6A59"/>
    <w:rsid w:val="00AF7B7B"/>
    <w:rsid w:val="00AF7BDD"/>
    <w:rsid w:val="00B00E4E"/>
    <w:rsid w:val="00B00F8C"/>
    <w:rsid w:val="00B00FEC"/>
    <w:rsid w:val="00B0189B"/>
    <w:rsid w:val="00B02145"/>
    <w:rsid w:val="00B02C3D"/>
    <w:rsid w:val="00B02F0C"/>
    <w:rsid w:val="00B03776"/>
    <w:rsid w:val="00B03ED8"/>
    <w:rsid w:val="00B0401D"/>
    <w:rsid w:val="00B042D2"/>
    <w:rsid w:val="00B0468F"/>
    <w:rsid w:val="00B04E8D"/>
    <w:rsid w:val="00B04F50"/>
    <w:rsid w:val="00B0542F"/>
    <w:rsid w:val="00B05A05"/>
    <w:rsid w:val="00B06495"/>
    <w:rsid w:val="00B064F1"/>
    <w:rsid w:val="00B06DA3"/>
    <w:rsid w:val="00B108C6"/>
    <w:rsid w:val="00B109DF"/>
    <w:rsid w:val="00B10CD6"/>
    <w:rsid w:val="00B118E1"/>
    <w:rsid w:val="00B11A39"/>
    <w:rsid w:val="00B11A5F"/>
    <w:rsid w:val="00B11A9A"/>
    <w:rsid w:val="00B120CF"/>
    <w:rsid w:val="00B1210E"/>
    <w:rsid w:val="00B1243E"/>
    <w:rsid w:val="00B129BD"/>
    <w:rsid w:val="00B12BDA"/>
    <w:rsid w:val="00B12DF1"/>
    <w:rsid w:val="00B13CAD"/>
    <w:rsid w:val="00B13D2B"/>
    <w:rsid w:val="00B13F2E"/>
    <w:rsid w:val="00B14011"/>
    <w:rsid w:val="00B14775"/>
    <w:rsid w:val="00B14793"/>
    <w:rsid w:val="00B15075"/>
    <w:rsid w:val="00B153CA"/>
    <w:rsid w:val="00B15774"/>
    <w:rsid w:val="00B158F1"/>
    <w:rsid w:val="00B15DB9"/>
    <w:rsid w:val="00B160E0"/>
    <w:rsid w:val="00B1621F"/>
    <w:rsid w:val="00B1780E"/>
    <w:rsid w:val="00B200D3"/>
    <w:rsid w:val="00B2060E"/>
    <w:rsid w:val="00B20DCF"/>
    <w:rsid w:val="00B20F8A"/>
    <w:rsid w:val="00B215EB"/>
    <w:rsid w:val="00B22522"/>
    <w:rsid w:val="00B2288A"/>
    <w:rsid w:val="00B23E51"/>
    <w:rsid w:val="00B23F9B"/>
    <w:rsid w:val="00B23FB9"/>
    <w:rsid w:val="00B24D66"/>
    <w:rsid w:val="00B255D7"/>
    <w:rsid w:val="00B258AF"/>
    <w:rsid w:val="00B264B0"/>
    <w:rsid w:val="00B26CDB"/>
    <w:rsid w:val="00B26ECF"/>
    <w:rsid w:val="00B27444"/>
    <w:rsid w:val="00B27734"/>
    <w:rsid w:val="00B27771"/>
    <w:rsid w:val="00B27787"/>
    <w:rsid w:val="00B278D7"/>
    <w:rsid w:val="00B3091E"/>
    <w:rsid w:val="00B30DA9"/>
    <w:rsid w:val="00B31602"/>
    <w:rsid w:val="00B319FE"/>
    <w:rsid w:val="00B31CD4"/>
    <w:rsid w:val="00B3232C"/>
    <w:rsid w:val="00B3275B"/>
    <w:rsid w:val="00B331B8"/>
    <w:rsid w:val="00B33786"/>
    <w:rsid w:val="00B337A4"/>
    <w:rsid w:val="00B34725"/>
    <w:rsid w:val="00B355F0"/>
    <w:rsid w:val="00B3578C"/>
    <w:rsid w:val="00B35DE9"/>
    <w:rsid w:val="00B36997"/>
    <w:rsid w:val="00B36D9E"/>
    <w:rsid w:val="00B37311"/>
    <w:rsid w:val="00B373FB"/>
    <w:rsid w:val="00B37975"/>
    <w:rsid w:val="00B40163"/>
    <w:rsid w:val="00B40F28"/>
    <w:rsid w:val="00B4106F"/>
    <w:rsid w:val="00B41A9C"/>
    <w:rsid w:val="00B41BE7"/>
    <w:rsid w:val="00B42006"/>
    <w:rsid w:val="00B424F7"/>
    <w:rsid w:val="00B42568"/>
    <w:rsid w:val="00B4276F"/>
    <w:rsid w:val="00B4316E"/>
    <w:rsid w:val="00B4335E"/>
    <w:rsid w:val="00B4339F"/>
    <w:rsid w:val="00B4381B"/>
    <w:rsid w:val="00B4383C"/>
    <w:rsid w:val="00B43D70"/>
    <w:rsid w:val="00B4403D"/>
    <w:rsid w:val="00B45847"/>
    <w:rsid w:val="00B460A1"/>
    <w:rsid w:val="00B4626B"/>
    <w:rsid w:val="00B46275"/>
    <w:rsid w:val="00B464C7"/>
    <w:rsid w:val="00B4658A"/>
    <w:rsid w:val="00B46AB5"/>
    <w:rsid w:val="00B4733F"/>
    <w:rsid w:val="00B4758E"/>
    <w:rsid w:val="00B475C4"/>
    <w:rsid w:val="00B47672"/>
    <w:rsid w:val="00B47CBB"/>
    <w:rsid w:val="00B5083E"/>
    <w:rsid w:val="00B50ADB"/>
    <w:rsid w:val="00B51604"/>
    <w:rsid w:val="00B51F64"/>
    <w:rsid w:val="00B525B3"/>
    <w:rsid w:val="00B52B20"/>
    <w:rsid w:val="00B52E07"/>
    <w:rsid w:val="00B53B4E"/>
    <w:rsid w:val="00B53BBE"/>
    <w:rsid w:val="00B53C5F"/>
    <w:rsid w:val="00B54BD8"/>
    <w:rsid w:val="00B5596C"/>
    <w:rsid w:val="00B5613E"/>
    <w:rsid w:val="00B5651D"/>
    <w:rsid w:val="00B569B2"/>
    <w:rsid w:val="00B569EC"/>
    <w:rsid w:val="00B56FBD"/>
    <w:rsid w:val="00B5715A"/>
    <w:rsid w:val="00B57327"/>
    <w:rsid w:val="00B575D6"/>
    <w:rsid w:val="00B6002D"/>
    <w:rsid w:val="00B6010B"/>
    <w:rsid w:val="00B60C9F"/>
    <w:rsid w:val="00B61114"/>
    <w:rsid w:val="00B61145"/>
    <w:rsid w:val="00B61262"/>
    <w:rsid w:val="00B6141D"/>
    <w:rsid w:val="00B61918"/>
    <w:rsid w:val="00B619F6"/>
    <w:rsid w:val="00B61C0F"/>
    <w:rsid w:val="00B6210A"/>
    <w:rsid w:val="00B6220A"/>
    <w:rsid w:val="00B62598"/>
    <w:rsid w:val="00B629F3"/>
    <w:rsid w:val="00B62B10"/>
    <w:rsid w:val="00B640CF"/>
    <w:rsid w:val="00B64227"/>
    <w:rsid w:val="00B64945"/>
    <w:rsid w:val="00B64F81"/>
    <w:rsid w:val="00B65476"/>
    <w:rsid w:val="00B657B4"/>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0BA"/>
    <w:rsid w:val="00B727DF"/>
    <w:rsid w:val="00B72CF9"/>
    <w:rsid w:val="00B72D67"/>
    <w:rsid w:val="00B72EE9"/>
    <w:rsid w:val="00B73577"/>
    <w:rsid w:val="00B73637"/>
    <w:rsid w:val="00B73D34"/>
    <w:rsid w:val="00B742C1"/>
    <w:rsid w:val="00B7433C"/>
    <w:rsid w:val="00B74720"/>
    <w:rsid w:val="00B74C99"/>
    <w:rsid w:val="00B75032"/>
    <w:rsid w:val="00B750D5"/>
    <w:rsid w:val="00B758A6"/>
    <w:rsid w:val="00B7591C"/>
    <w:rsid w:val="00B75BFB"/>
    <w:rsid w:val="00B75D1D"/>
    <w:rsid w:val="00B75E98"/>
    <w:rsid w:val="00B7611F"/>
    <w:rsid w:val="00B762F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25BA"/>
    <w:rsid w:val="00B836EF"/>
    <w:rsid w:val="00B840BB"/>
    <w:rsid w:val="00B84C9F"/>
    <w:rsid w:val="00B8525F"/>
    <w:rsid w:val="00B856E9"/>
    <w:rsid w:val="00B85774"/>
    <w:rsid w:val="00B859F8"/>
    <w:rsid w:val="00B863FE"/>
    <w:rsid w:val="00B86429"/>
    <w:rsid w:val="00B8648F"/>
    <w:rsid w:val="00B866C7"/>
    <w:rsid w:val="00B86C07"/>
    <w:rsid w:val="00B86EFB"/>
    <w:rsid w:val="00B87563"/>
    <w:rsid w:val="00B87EBC"/>
    <w:rsid w:val="00B87FF0"/>
    <w:rsid w:val="00B90825"/>
    <w:rsid w:val="00B9084F"/>
    <w:rsid w:val="00B90862"/>
    <w:rsid w:val="00B90DD5"/>
    <w:rsid w:val="00B90FE7"/>
    <w:rsid w:val="00B912EC"/>
    <w:rsid w:val="00B913C1"/>
    <w:rsid w:val="00B917AC"/>
    <w:rsid w:val="00B91F77"/>
    <w:rsid w:val="00B926AC"/>
    <w:rsid w:val="00B92E6B"/>
    <w:rsid w:val="00B93043"/>
    <w:rsid w:val="00B93431"/>
    <w:rsid w:val="00B93500"/>
    <w:rsid w:val="00B93900"/>
    <w:rsid w:val="00B93951"/>
    <w:rsid w:val="00B93AC4"/>
    <w:rsid w:val="00B93C69"/>
    <w:rsid w:val="00B93D97"/>
    <w:rsid w:val="00B94392"/>
    <w:rsid w:val="00B94A8E"/>
    <w:rsid w:val="00B9549C"/>
    <w:rsid w:val="00B955F5"/>
    <w:rsid w:val="00B95663"/>
    <w:rsid w:val="00B95A36"/>
    <w:rsid w:val="00B95CCC"/>
    <w:rsid w:val="00B95F44"/>
    <w:rsid w:val="00B96D3C"/>
    <w:rsid w:val="00B97577"/>
    <w:rsid w:val="00B97610"/>
    <w:rsid w:val="00BA051D"/>
    <w:rsid w:val="00BA05BA"/>
    <w:rsid w:val="00BA0FE9"/>
    <w:rsid w:val="00BA118B"/>
    <w:rsid w:val="00BA139F"/>
    <w:rsid w:val="00BA1A0B"/>
    <w:rsid w:val="00BA1E85"/>
    <w:rsid w:val="00BA308D"/>
    <w:rsid w:val="00BA359B"/>
    <w:rsid w:val="00BA35C1"/>
    <w:rsid w:val="00BA38E5"/>
    <w:rsid w:val="00BA3A93"/>
    <w:rsid w:val="00BA40AA"/>
    <w:rsid w:val="00BA4CA3"/>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199"/>
    <w:rsid w:val="00BB25BB"/>
    <w:rsid w:val="00BB2710"/>
    <w:rsid w:val="00BB2E7F"/>
    <w:rsid w:val="00BB35AF"/>
    <w:rsid w:val="00BB375D"/>
    <w:rsid w:val="00BB3D28"/>
    <w:rsid w:val="00BB4A6F"/>
    <w:rsid w:val="00BB5065"/>
    <w:rsid w:val="00BB56B1"/>
    <w:rsid w:val="00BB5759"/>
    <w:rsid w:val="00BB5A30"/>
    <w:rsid w:val="00BB5B98"/>
    <w:rsid w:val="00BB5BFE"/>
    <w:rsid w:val="00BB6FB6"/>
    <w:rsid w:val="00BB7604"/>
    <w:rsid w:val="00BB7BAC"/>
    <w:rsid w:val="00BC08D8"/>
    <w:rsid w:val="00BC08FC"/>
    <w:rsid w:val="00BC0F7C"/>
    <w:rsid w:val="00BC202D"/>
    <w:rsid w:val="00BC213B"/>
    <w:rsid w:val="00BC293C"/>
    <w:rsid w:val="00BC2964"/>
    <w:rsid w:val="00BC3112"/>
    <w:rsid w:val="00BC3776"/>
    <w:rsid w:val="00BC3D8E"/>
    <w:rsid w:val="00BC3E7F"/>
    <w:rsid w:val="00BC41B5"/>
    <w:rsid w:val="00BC4212"/>
    <w:rsid w:val="00BC480F"/>
    <w:rsid w:val="00BC4C63"/>
    <w:rsid w:val="00BC4E1D"/>
    <w:rsid w:val="00BC54D1"/>
    <w:rsid w:val="00BC5F23"/>
    <w:rsid w:val="00BC6308"/>
    <w:rsid w:val="00BC63FE"/>
    <w:rsid w:val="00BC666D"/>
    <w:rsid w:val="00BC67A4"/>
    <w:rsid w:val="00BC6B4D"/>
    <w:rsid w:val="00BC6C4F"/>
    <w:rsid w:val="00BC76AA"/>
    <w:rsid w:val="00BD049D"/>
    <w:rsid w:val="00BD0631"/>
    <w:rsid w:val="00BD0A31"/>
    <w:rsid w:val="00BD1290"/>
    <w:rsid w:val="00BD1CFB"/>
    <w:rsid w:val="00BD2946"/>
    <w:rsid w:val="00BD2B8F"/>
    <w:rsid w:val="00BD2D4E"/>
    <w:rsid w:val="00BD35B9"/>
    <w:rsid w:val="00BD36EC"/>
    <w:rsid w:val="00BD4A52"/>
    <w:rsid w:val="00BD51CA"/>
    <w:rsid w:val="00BD5CD2"/>
    <w:rsid w:val="00BD6495"/>
    <w:rsid w:val="00BD6785"/>
    <w:rsid w:val="00BD77DE"/>
    <w:rsid w:val="00BD78CE"/>
    <w:rsid w:val="00BD79C2"/>
    <w:rsid w:val="00BE14C0"/>
    <w:rsid w:val="00BE1F2E"/>
    <w:rsid w:val="00BE1FA7"/>
    <w:rsid w:val="00BE2AD7"/>
    <w:rsid w:val="00BE2BAA"/>
    <w:rsid w:val="00BE34B4"/>
    <w:rsid w:val="00BE37CD"/>
    <w:rsid w:val="00BE3D6A"/>
    <w:rsid w:val="00BE4D84"/>
    <w:rsid w:val="00BE4F8D"/>
    <w:rsid w:val="00BE590A"/>
    <w:rsid w:val="00BE65FF"/>
    <w:rsid w:val="00BE6E4A"/>
    <w:rsid w:val="00BE770F"/>
    <w:rsid w:val="00BE778C"/>
    <w:rsid w:val="00BE7A3F"/>
    <w:rsid w:val="00BF01D4"/>
    <w:rsid w:val="00BF12C8"/>
    <w:rsid w:val="00BF1780"/>
    <w:rsid w:val="00BF1C7B"/>
    <w:rsid w:val="00BF20FB"/>
    <w:rsid w:val="00BF2997"/>
    <w:rsid w:val="00BF2B15"/>
    <w:rsid w:val="00BF32E5"/>
    <w:rsid w:val="00BF433F"/>
    <w:rsid w:val="00BF4C22"/>
    <w:rsid w:val="00BF4CD1"/>
    <w:rsid w:val="00BF4DD7"/>
    <w:rsid w:val="00BF51E4"/>
    <w:rsid w:val="00BF5691"/>
    <w:rsid w:val="00BF6043"/>
    <w:rsid w:val="00BF65FC"/>
    <w:rsid w:val="00BF74D8"/>
    <w:rsid w:val="00BF76ED"/>
    <w:rsid w:val="00C00156"/>
    <w:rsid w:val="00C003C3"/>
    <w:rsid w:val="00C006F6"/>
    <w:rsid w:val="00C00838"/>
    <w:rsid w:val="00C008C6"/>
    <w:rsid w:val="00C00BE6"/>
    <w:rsid w:val="00C00F80"/>
    <w:rsid w:val="00C01250"/>
    <w:rsid w:val="00C01619"/>
    <w:rsid w:val="00C0178B"/>
    <w:rsid w:val="00C01B51"/>
    <w:rsid w:val="00C01FFC"/>
    <w:rsid w:val="00C024AA"/>
    <w:rsid w:val="00C025E9"/>
    <w:rsid w:val="00C03041"/>
    <w:rsid w:val="00C03815"/>
    <w:rsid w:val="00C041F4"/>
    <w:rsid w:val="00C0453A"/>
    <w:rsid w:val="00C04C59"/>
    <w:rsid w:val="00C0524E"/>
    <w:rsid w:val="00C05428"/>
    <w:rsid w:val="00C05637"/>
    <w:rsid w:val="00C058A3"/>
    <w:rsid w:val="00C05E05"/>
    <w:rsid w:val="00C05E7B"/>
    <w:rsid w:val="00C06227"/>
    <w:rsid w:val="00C06233"/>
    <w:rsid w:val="00C06317"/>
    <w:rsid w:val="00C06D01"/>
    <w:rsid w:val="00C0711F"/>
    <w:rsid w:val="00C074F1"/>
    <w:rsid w:val="00C077E1"/>
    <w:rsid w:val="00C0797B"/>
    <w:rsid w:val="00C1019A"/>
    <w:rsid w:val="00C107BE"/>
    <w:rsid w:val="00C10BD0"/>
    <w:rsid w:val="00C10C03"/>
    <w:rsid w:val="00C112F7"/>
    <w:rsid w:val="00C1161D"/>
    <w:rsid w:val="00C11A5B"/>
    <w:rsid w:val="00C12BAF"/>
    <w:rsid w:val="00C12C55"/>
    <w:rsid w:val="00C12CC4"/>
    <w:rsid w:val="00C12CE6"/>
    <w:rsid w:val="00C12D9C"/>
    <w:rsid w:val="00C13208"/>
    <w:rsid w:val="00C13392"/>
    <w:rsid w:val="00C133F5"/>
    <w:rsid w:val="00C1360E"/>
    <w:rsid w:val="00C136CB"/>
    <w:rsid w:val="00C13819"/>
    <w:rsid w:val="00C13CCA"/>
    <w:rsid w:val="00C13DCB"/>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17FBF"/>
    <w:rsid w:val="00C20358"/>
    <w:rsid w:val="00C20A09"/>
    <w:rsid w:val="00C20AEB"/>
    <w:rsid w:val="00C20EC1"/>
    <w:rsid w:val="00C20F22"/>
    <w:rsid w:val="00C21176"/>
    <w:rsid w:val="00C2188A"/>
    <w:rsid w:val="00C21FF8"/>
    <w:rsid w:val="00C220F2"/>
    <w:rsid w:val="00C223A0"/>
    <w:rsid w:val="00C226D1"/>
    <w:rsid w:val="00C237EC"/>
    <w:rsid w:val="00C23BBD"/>
    <w:rsid w:val="00C24021"/>
    <w:rsid w:val="00C2455C"/>
    <w:rsid w:val="00C24638"/>
    <w:rsid w:val="00C24970"/>
    <w:rsid w:val="00C25E91"/>
    <w:rsid w:val="00C26495"/>
    <w:rsid w:val="00C26C2C"/>
    <w:rsid w:val="00C273ED"/>
    <w:rsid w:val="00C27447"/>
    <w:rsid w:val="00C27891"/>
    <w:rsid w:val="00C27D45"/>
    <w:rsid w:val="00C300F5"/>
    <w:rsid w:val="00C30AED"/>
    <w:rsid w:val="00C31073"/>
    <w:rsid w:val="00C310C1"/>
    <w:rsid w:val="00C314B5"/>
    <w:rsid w:val="00C32570"/>
    <w:rsid w:val="00C32A43"/>
    <w:rsid w:val="00C32C1E"/>
    <w:rsid w:val="00C32D53"/>
    <w:rsid w:val="00C32F69"/>
    <w:rsid w:val="00C3312E"/>
    <w:rsid w:val="00C33B34"/>
    <w:rsid w:val="00C33CD5"/>
    <w:rsid w:val="00C33E46"/>
    <w:rsid w:val="00C33E50"/>
    <w:rsid w:val="00C340CF"/>
    <w:rsid w:val="00C34101"/>
    <w:rsid w:val="00C348FE"/>
    <w:rsid w:val="00C34930"/>
    <w:rsid w:val="00C34FBC"/>
    <w:rsid w:val="00C35087"/>
    <w:rsid w:val="00C35155"/>
    <w:rsid w:val="00C3523B"/>
    <w:rsid w:val="00C35947"/>
    <w:rsid w:val="00C36FFE"/>
    <w:rsid w:val="00C375D2"/>
    <w:rsid w:val="00C402C8"/>
    <w:rsid w:val="00C40A83"/>
    <w:rsid w:val="00C40D37"/>
    <w:rsid w:val="00C40EE3"/>
    <w:rsid w:val="00C412E1"/>
    <w:rsid w:val="00C416FD"/>
    <w:rsid w:val="00C41941"/>
    <w:rsid w:val="00C41DDD"/>
    <w:rsid w:val="00C41E73"/>
    <w:rsid w:val="00C41FA0"/>
    <w:rsid w:val="00C4271F"/>
    <w:rsid w:val="00C42A6C"/>
    <w:rsid w:val="00C42B60"/>
    <w:rsid w:val="00C42EE3"/>
    <w:rsid w:val="00C43E4A"/>
    <w:rsid w:val="00C43FD4"/>
    <w:rsid w:val="00C4445E"/>
    <w:rsid w:val="00C44720"/>
    <w:rsid w:val="00C44846"/>
    <w:rsid w:val="00C44FC1"/>
    <w:rsid w:val="00C453B9"/>
    <w:rsid w:val="00C45526"/>
    <w:rsid w:val="00C45A51"/>
    <w:rsid w:val="00C46113"/>
    <w:rsid w:val="00C469E3"/>
    <w:rsid w:val="00C46F19"/>
    <w:rsid w:val="00C47155"/>
    <w:rsid w:val="00C47590"/>
    <w:rsid w:val="00C4762E"/>
    <w:rsid w:val="00C47987"/>
    <w:rsid w:val="00C47CD2"/>
    <w:rsid w:val="00C47D56"/>
    <w:rsid w:val="00C5029B"/>
    <w:rsid w:val="00C50C94"/>
    <w:rsid w:val="00C51042"/>
    <w:rsid w:val="00C510DE"/>
    <w:rsid w:val="00C522C1"/>
    <w:rsid w:val="00C536E4"/>
    <w:rsid w:val="00C538AE"/>
    <w:rsid w:val="00C53C32"/>
    <w:rsid w:val="00C53DA2"/>
    <w:rsid w:val="00C53E7A"/>
    <w:rsid w:val="00C54492"/>
    <w:rsid w:val="00C544B6"/>
    <w:rsid w:val="00C545D8"/>
    <w:rsid w:val="00C54601"/>
    <w:rsid w:val="00C54E26"/>
    <w:rsid w:val="00C55E23"/>
    <w:rsid w:val="00C56112"/>
    <w:rsid w:val="00C56A84"/>
    <w:rsid w:val="00C575E8"/>
    <w:rsid w:val="00C5777E"/>
    <w:rsid w:val="00C57EB0"/>
    <w:rsid w:val="00C60984"/>
    <w:rsid w:val="00C60E33"/>
    <w:rsid w:val="00C60ED4"/>
    <w:rsid w:val="00C6111A"/>
    <w:rsid w:val="00C611D5"/>
    <w:rsid w:val="00C61623"/>
    <w:rsid w:val="00C61801"/>
    <w:rsid w:val="00C618DF"/>
    <w:rsid w:val="00C62FF2"/>
    <w:rsid w:val="00C63B48"/>
    <w:rsid w:val="00C643D2"/>
    <w:rsid w:val="00C65030"/>
    <w:rsid w:val="00C652A1"/>
    <w:rsid w:val="00C652CF"/>
    <w:rsid w:val="00C655E4"/>
    <w:rsid w:val="00C65738"/>
    <w:rsid w:val="00C6590A"/>
    <w:rsid w:val="00C65FFB"/>
    <w:rsid w:val="00C66663"/>
    <w:rsid w:val="00C668D8"/>
    <w:rsid w:val="00C66BCD"/>
    <w:rsid w:val="00C66E74"/>
    <w:rsid w:val="00C67029"/>
    <w:rsid w:val="00C679C2"/>
    <w:rsid w:val="00C7031A"/>
    <w:rsid w:val="00C70B20"/>
    <w:rsid w:val="00C70B38"/>
    <w:rsid w:val="00C70B43"/>
    <w:rsid w:val="00C710D1"/>
    <w:rsid w:val="00C71716"/>
    <w:rsid w:val="00C719E2"/>
    <w:rsid w:val="00C71A56"/>
    <w:rsid w:val="00C71BA3"/>
    <w:rsid w:val="00C72B8E"/>
    <w:rsid w:val="00C72E3A"/>
    <w:rsid w:val="00C730CC"/>
    <w:rsid w:val="00C74EAB"/>
    <w:rsid w:val="00C74F86"/>
    <w:rsid w:val="00C7532A"/>
    <w:rsid w:val="00C75721"/>
    <w:rsid w:val="00C75C97"/>
    <w:rsid w:val="00C760A6"/>
    <w:rsid w:val="00C762B7"/>
    <w:rsid w:val="00C7635F"/>
    <w:rsid w:val="00C76825"/>
    <w:rsid w:val="00C77C4B"/>
    <w:rsid w:val="00C77C5D"/>
    <w:rsid w:val="00C77D50"/>
    <w:rsid w:val="00C80D59"/>
    <w:rsid w:val="00C80DC6"/>
    <w:rsid w:val="00C815E4"/>
    <w:rsid w:val="00C81CCC"/>
    <w:rsid w:val="00C82535"/>
    <w:rsid w:val="00C82775"/>
    <w:rsid w:val="00C8290C"/>
    <w:rsid w:val="00C83373"/>
    <w:rsid w:val="00C84899"/>
    <w:rsid w:val="00C84B27"/>
    <w:rsid w:val="00C84E5E"/>
    <w:rsid w:val="00C8512B"/>
    <w:rsid w:val="00C856E4"/>
    <w:rsid w:val="00C858C8"/>
    <w:rsid w:val="00C85A79"/>
    <w:rsid w:val="00C86242"/>
    <w:rsid w:val="00C86D64"/>
    <w:rsid w:val="00C87999"/>
    <w:rsid w:val="00C87CDD"/>
    <w:rsid w:val="00C9031C"/>
    <w:rsid w:val="00C909EE"/>
    <w:rsid w:val="00C90E27"/>
    <w:rsid w:val="00C910ED"/>
    <w:rsid w:val="00C914C9"/>
    <w:rsid w:val="00C9156F"/>
    <w:rsid w:val="00C91E57"/>
    <w:rsid w:val="00C92045"/>
    <w:rsid w:val="00C922E8"/>
    <w:rsid w:val="00C926F7"/>
    <w:rsid w:val="00C93188"/>
    <w:rsid w:val="00C94118"/>
    <w:rsid w:val="00C9421B"/>
    <w:rsid w:val="00C94EF3"/>
    <w:rsid w:val="00C952A9"/>
    <w:rsid w:val="00C9534F"/>
    <w:rsid w:val="00C95E98"/>
    <w:rsid w:val="00C95F67"/>
    <w:rsid w:val="00C961C0"/>
    <w:rsid w:val="00C965E4"/>
    <w:rsid w:val="00C96615"/>
    <w:rsid w:val="00C9739A"/>
    <w:rsid w:val="00CA0C40"/>
    <w:rsid w:val="00CA1148"/>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647"/>
    <w:rsid w:val="00CA575F"/>
    <w:rsid w:val="00CA6856"/>
    <w:rsid w:val="00CA6F7C"/>
    <w:rsid w:val="00CB0652"/>
    <w:rsid w:val="00CB0A8A"/>
    <w:rsid w:val="00CB138C"/>
    <w:rsid w:val="00CB1BD3"/>
    <w:rsid w:val="00CB20F3"/>
    <w:rsid w:val="00CB21EF"/>
    <w:rsid w:val="00CB26B1"/>
    <w:rsid w:val="00CB2714"/>
    <w:rsid w:val="00CB2824"/>
    <w:rsid w:val="00CB2C75"/>
    <w:rsid w:val="00CB2CE9"/>
    <w:rsid w:val="00CB2F95"/>
    <w:rsid w:val="00CB30E7"/>
    <w:rsid w:val="00CB3270"/>
    <w:rsid w:val="00CB4468"/>
    <w:rsid w:val="00CB4653"/>
    <w:rsid w:val="00CB485A"/>
    <w:rsid w:val="00CB4DA4"/>
    <w:rsid w:val="00CB557A"/>
    <w:rsid w:val="00CB6108"/>
    <w:rsid w:val="00CB644A"/>
    <w:rsid w:val="00CB68BB"/>
    <w:rsid w:val="00CB7008"/>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4D1"/>
    <w:rsid w:val="00CD0BAE"/>
    <w:rsid w:val="00CD1017"/>
    <w:rsid w:val="00CD129C"/>
    <w:rsid w:val="00CD12BA"/>
    <w:rsid w:val="00CD1768"/>
    <w:rsid w:val="00CD181E"/>
    <w:rsid w:val="00CD2C45"/>
    <w:rsid w:val="00CD2D69"/>
    <w:rsid w:val="00CD3795"/>
    <w:rsid w:val="00CD387C"/>
    <w:rsid w:val="00CD474C"/>
    <w:rsid w:val="00CD49A8"/>
    <w:rsid w:val="00CD5589"/>
    <w:rsid w:val="00CD5CCC"/>
    <w:rsid w:val="00CD6B16"/>
    <w:rsid w:val="00CD6B5E"/>
    <w:rsid w:val="00CD6CB1"/>
    <w:rsid w:val="00CD7127"/>
    <w:rsid w:val="00CD7422"/>
    <w:rsid w:val="00CE02A5"/>
    <w:rsid w:val="00CE0950"/>
    <w:rsid w:val="00CE0FC5"/>
    <w:rsid w:val="00CE11D8"/>
    <w:rsid w:val="00CE1648"/>
    <w:rsid w:val="00CE1A90"/>
    <w:rsid w:val="00CE1B91"/>
    <w:rsid w:val="00CE1C5C"/>
    <w:rsid w:val="00CE1CA9"/>
    <w:rsid w:val="00CE1E07"/>
    <w:rsid w:val="00CE24A9"/>
    <w:rsid w:val="00CE2567"/>
    <w:rsid w:val="00CE2721"/>
    <w:rsid w:val="00CE2A65"/>
    <w:rsid w:val="00CE3037"/>
    <w:rsid w:val="00CE3142"/>
    <w:rsid w:val="00CE32AD"/>
    <w:rsid w:val="00CE3361"/>
    <w:rsid w:val="00CE3F49"/>
    <w:rsid w:val="00CE415B"/>
    <w:rsid w:val="00CE49B0"/>
    <w:rsid w:val="00CE4EA8"/>
    <w:rsid w:val="00CE5261"/>
    <w:rsid w:val="00CE584B"/>
    <w:rsid w:val="00CE5A0A"/>
    <w:rsid w:val="00CE6560"/>
    <w:rsid w:val="00CE6C5C"/>
    <w:rsid w:val="00CE72F6"/>
    <w:rsid w:val="00CE76C2"/>
    <w:rsid w:val="00CE7FF2"/>
    <w:rsid w:val="00CF0033"/>
    <w:rsid w:val="00CF0E48"/>
    <w:rsid w:val="00CF0E8B"/>
    <w:rsid w:val="00CF0F39"/>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6BA"/>
    <w:rsid w:val="00CF4BCC"/>
    <w:rsid w:val="00CF52EB"/>
    <w:rsid w:val="00CF585D"/>
    <w:rsid w:val="00CF5A50"/>
    <w:rsid w:val="00CF5CA8"/>
    <w:rsid w:val="00CF5CB5"/>
    <w:rsid w:val="00CF61C3"/>
    <w:rsid w:val="00CF6562"/>
    <w:rsid w:val="00CF72BD"/>
    <w:rsid w:val="00CF767E"/>
    <w:rsid w:val="00CF78C0"/>
    <w:rsid w:val="00CF7E08"/>
    <w:rsid w:val="00D003F6"/>
    <w:rsid w:val="00D00E98"/>
    <w:rsid w:val="00D015A8"/>
    <w:rsid w:val="00D0162F"/>
    <w:rsid w:val="00D0221A"/>
    <w:rsid w:val="00D024F9"/>
    <w:rsid w:val="00D027F9"/>
    <w:rsid w:val="00D032AA"/>
    <w:rsid w:val="00D0396B"/>
    <w:rsid w:val="00D03A3E"/>
    <w:rsid w:val="00D03B1A"/>
    <w:rsid w:val="00D03E97"/>
    <w:rsid w:val="00D040BB"/>
    <w:rsid w:val="00D043DD"/>
    <w:rsid w:val="00D049C4"/>
    <w:rsid w:val="00D04AB4"/>
    <w:rsid w:val="00D04FB0"/>
    <w:rsid w:val="00D056E9"/>
    <w:rsid w:val="00D05CB6"/>
    <w:rsid w:val="00D05F3A"/>
    <w:rsid w:val="00D06325"/>
    <w:rsid w:val="00D06B30"/>
    <w:rsid w:val="00D06FC8"/>
    <w:rsid w:val="00D07684"/>
    <w:rsid w:val="00D076A6"/>
    <w:rsid w:val="00D079B5"/>
    <w:rsid w:val="00D07EA2"/>
    <w:rsid w:val="00D07F59"/>
    <w:rsid w:val="00D104B2"/>
    <w:rsid w:val="00D105BB"/>
    <w:rsid w:val="00D10986"/>
    <w:rsid w:val="00D11BB2"/>
    <w:rsid w:val="00D11D19"/>
    <w:rsid w:val="00D12473"/>
    <w:rsid w:val="00D125F0"/>
    <w:rsid w:val="00D12F1F"/>
    <w:rsid w:val="00D13207"/>
    <w:rsid w:val="00D13358"/>
    <w:rsid w:val="00D1342C"/>
    <w:rsid w:val="00D14081"/>
    <w:rsid w:val="00D142FA"/>
    <w:rsid w:val="00D14638"/>
    <w:rsid w:val="00D14873"/>
    <w:rsid w:val="00D14C06"/>
    <w:rsid w:val="00D14CA9"/>
    <w:rsid w:val="00D14DAF"/>
    <w:rsid w:val="00D14F87"/>
    <w:rsid w:val="00D1564A"/>
    <w:rsid w:val="00D156E5"/>
    <w:rsid w:val="00D15AF0"/>
    <w:rsid w:val="00D16747"/>
    <w:rsid w:val="00D175C7"/>
    <w:rsid w:val="00D17E09"/>
    <w:rsid w:val="00D202DA"/>
    <w:rsid w:val="00D20886"/>
    <w:rsid w:val="00D21118"/>
    <w:rsid w:val="00D21175"/>
    <w:rsid w:val="00D21888"/>
    <w:rsid w:val="00D22E00"/>
    <w:rsid w:val="00D23C43"/>
    <w:rsid w:val="00D251E6"/>
    <w:rsid w:val="00D259B0"/>
    <w:rsid w:val="00D25DCD"/>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103"/>
    <w:rsid w:val="00D4051C"/>
    <w:rsid w:val="00D4061B"/>
    <w:rsid w:val="00D406AE"/>
    <w:rsid w:val="00D4205A"/>
    <w:rsid w:val="00D42977"/>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278"/>
    <w:rsid w:val="00D503D4"/>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6EF1"/>
    <w:rsid w:val="00D57669"/>
    <w:rsid w:val="00D57B21"/>
    <w:rsid w:val="00D57B9A"/>
    <w:rsid w:val="00D60190"/>
    <w:rsid w:val="00D602D3"/>
    <w:rsid w:val="00D605A5"/>
    <w:rsid w:val="00D606A0"/>
    <w:rsid w:val="00D60A18"/>
    <w:rsid w:val="00D60A2F"/>
    <w:rsid w:val="00D60DAB"/>
    <w:rsid w:val="00D60FBB"/>
    <w:rsid w:val="00D61A8A"/>
    <w:rsid w:val="00D62369"/>
    <w:rsid w:val="00D623AA"/>
    <w:rsid w:val="00D62653"/>
    <w:rsid w:val="00D62A24"/>
    <w:rsid w:val="00D62B06"/>
    <w:rsid w:val="00D62FAC"/>
    <w:rsid w:val="00D632CD"/>
    <w:rsid w:val="00D635B0"/>
    <w:rsid w:val="00D637A9"/>
    <w:rsid w:val="00D63B6D"/>
    <w:rsid w:val="00D63BE1"/>
    <w:rsid w:val="00D64AA1"/>
    <w:rsid w:val="00D65280"/>
    <w:rsid w:val="00D6616F"/>
    <w:rsid w:val="00D6699B"/>
    <w:rsid w:val="00D67178"/>
    <w:rsid w:val="00D672A2"/>
    <w:rsid w:val="00D67927"/>
    <w:rsid w:val="00D7009E"/>
    <w:rsid w:val="00D70C63"/>
    <w:rsid w:val="00D710C5"/>
    <w:rsid w:val="00D71410"/>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5E48"/>
    <w:rsid w:val="00D85F9C"/>
    <w:rsid w:val="00D86605"/>
    <w:rsid w:val="00D875D5"/>
    <w:rsid w:val="00D87BDC"/>
    <w:rsid w:val="00D9096B"/>
    <w:rsid w:val="00D90A8C"/>
    <w:rsid w:val="00D90D1C"/>
    <w:rsid w:val="00D90D5C"/>
    <w:rsid w:val="00D90ED4"/>
    <w:rsid w:val="00D90FF0"/>
    <w:rsid w:val="00D91838"/>
    <w:rsid w:val="00D920E8"/>
    <w:rsid w:val="00D92722"/>
    <w:rsid w:val="00D92BF2"/>
    <w:rsid w:val="00D9320C"/>
    <w:rsid w:val="00D93295"/>
    <w:rsid w:val="00D9335B"/>
    <w:rsid w:val="00D93DAF"/>
    <w:rsid w:val="00D941AE"/>
    <w:rsid w:val="00D945C8"/>
    <w:rsid w:val="00D94925"/>
    <w:rsid w:val="00D94E5E"/>
    <w:rsid w:val="00D94F2C"/>
    <w:rsid w:val="00D95A96"/>
    <w:rsid w:val="00D96138"/>
    <w:rsid w:val="00D965AB"/>
    <w:rsid w:val="00D96B07"/>
    <w:rsid w:val="00D96BD2"/>
    <w:rsid w:val="00D96CDB"/>
    <w:rsid w:val="00D974EC"/>
    <w:rsid w:val="00D97594"/>
    <w:rsid w:val="00D97C14"/>
    <w:rsid w:val="00DA002B"/>
    <w:rsid w:val="00DA0351"/>
    <w:rsid w:val="00DA0417"/>
    <w:rsid w:val="00DA059A"/>
    <w:rsid w:val="00DA0676"/>
    <w:rsid w:val="00DA0893"/>
    <w:rsid w:val="00DA08F0"/>
    <w:rsid w:val="00DA0F27"/>
    <w:rsid w:val="00DA117B"/>
    <w:rsid w:val="00DA156A"/>
    <w:rsid w:val="00DA1DA8"/>
    <w:rsid w:val="00DA22C1"/>
    <w:rsid w:val="00DA24B0"/>
    <w:rsid w:val="00DA2582"/>
    <w:rsid w:val="00DA2694"/>
    <w:rsid w:val="00DA3CF1"/>
    <w:rsid w:val="00DA3D4B"/>
    <w:rsid w:val="00DA4B0E"/>
    <w:rsid w:val="00DA50E4"/>
    <w:rsid w:val="00DA5BEB"/>
    <w:rsid w:val="00DA6BFD"/>
    <w:rsid w:val="00DA6E40"/>
    <w:rsid w:val="00DA7645"/>
    <w:rsid w:val="00DA7E15"/>
    <w:rsid w:val="00DA7FC8"/>
    <w:rsid w:val="00DB01F6"/>
    <w:rsid w:val="00DB02FF"/>
    <w:rsid w:val="00DB10BD"/>
    <w:rsid w:val="00DB1433"/>
    <w:rsid w:val="00DB197C"/>
    <w:rsid w:val="00DB1AAF"/>
    <w:rsid w:val="00DB25D2"/>
    <w:rsid w:val="00DB263B"/>
    <w:rsid w:val="00DB26B5"/>
    <w:rsid w:val="00DB36C4"/>
    <w:rsid w:val="00DB3753"/>
    <w:rsid w:val="00DB3AA0"/>
    <w:rsid w:val="00DB3C49"/>
    <w:rsid w:val="00DB3D6D"/>
    <w:rsid w:val="00DB41B9"/>
    <w:rsid w:val="00DB42C2"/>
    <w:rsid w:val="00DB444B"/>
    <w:rsid w:val="00DB4628"/>
    <w:rsid w:val="00DB4714"/>
    <w:rsid w:val="00DB4788"/>
    <w:rsid w:val="00DB4D04"/>
    <w:rsid w:val="00DB510A"/>
    <w:rsid w:val="00DB5178"/>
    <w:rsid w:val="00DB5386"/>
    <w:rsid w:val="00DB5ABE"/>
    <w:rsid w:val="00DB5F11"/>
    <w:rsid w:val="00DB6292"/>
    <w:rsid w:val="00DB67E7"/>
    <w:rsid w:val="00DB68BB"/>
    <w:rsid w:val="00DB6CDF"/>
    <w:rsid w:val="00DB6EB2"/>
    <w:rsid w:val="00DB7F10"/>
    <w:rsid w:val="00DC1524"/>
    <w:rsid w:val="00DC158A"/>
    <w:rsid w:val="00DC1889"/>
    <w:rsid w:val="00DC1CA3"/>
    <w:rsid w:val="00DC2075"/>
    <w:rsid w:val="00DC226A"/>
    <w:rsid w:val="00DC2949"/>
    <w:rsid w:val="00DC2A33"/>
    <w:rsid w:val="00DC3214"/>
    <w:rsid w:val="00DC335D"/>
    <w:rsid w:val="00DC3579"/>
    <w:rsid w:val="00DC3E0F"/>
    <w:rsid w:val="00DC43AE"/>
    <w:rsid w:val="00DC466F"/>
    <w:rsid w:val="00DC4841"/>
    <w:rsid w:val="00DC4DDA"/>
    <w:rsid w:val="00DC51EE"/>
    <w:rsid w:val="00DC5533"/>
    <w:rsid w:val="00DC5770"/>
    <w:rsid w:val="00DC59D7"/>
    <w:rsid w:val="00DC605E"/>
    <w:rsid w:val="00DC6E13"/>
    <w:rsid w:val="00DC6E1B"/>
    <w:rsid w:val="00DC71FC"/>
    <w:rsid w:val="00DC7728"/>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9D8"/>
    <w:rsid w:val="00DD5A2A"/>
    <w:rsid w:val="00DD5B2E"/>
    <w:rsid w:val="00DD624F"/>
    <w:rsid w:val="00DD662B"/>
    <w:rsid w:val="00DD6C92"/>
    <w:rsid w:val="00DD71B7"/>
    <w:rsid w:val="00DD7897"/>
    <w:rsid w:val="00DE01AB"/>
    <w:rsid w:val="00DE01CA"/>
    <w:rsid w:val="00DE04EA"/>
    <w:rsid w:val="00DE0B85"/>
    <w:rsid w:val="00DE0D66"/>
    <w:rsid w:val="00DE12BD"/>
    <w:rsid w:val="00DE1489"/>
    <w:rsid w:val="00DE1532"/>
    <w:rsid w:val="00DE179B"/>
    <w:rsid w:val="00DE1A46"/>
    <w:rsid w:val="00DE292D"/>
    <w:rsid w:val="00DE2AA3"/>
    <w:rsid w:val="00DE30D1"/>
    <w:rsid w:val="00DE3A67"/>
    <w:rsid w:val="00DE3B74"/>
    <w:rsid w:val="00DE40F7"/>
    <w:rsid w:val="00DE47DF"/>
    <w:rsid w:val="00DE4C85"/>
    <w:rsid w:val="00DE4D21"/>
    <w:rsid w:val="00DE4E08"/>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0A"/>
    <w:rsid w:val="00DF1262"/>
    <w:rsid w:val="00DF1956"/>
    <w:rsid w:val="00DF1AD2"/>
    <w:rsid w:val="00DF1D62"/>
    <w:rsid w:val="00DF2170"/>
    <w:rsid w:val="00DF273F"/>
    <w:rsid w:val="00DF2FC2"/>
    <w:rsid w:val="00DF3D62"/>
    <w:rsid w:val="00DF4364"/>
    <w:rsid w:val="00DF473C"/>
    <w:rsid w:val="00DF50E7"/>
    <w:rsid w:val="00DF572E"/>
    <w:rsid w:val="00DF596A"/>
    <w:rsid w:val="00DF6125"/>
    <w:rsid w:val="00DF6DA6"/>
    <w:rsid w:val="00DF6F28"/>
    <w:rsid w:val="00DF708D"/>
    <w:rsid w:val="00DF765C"/>
    <w:rsid w:val="00DF7EB8"/>
    <w:rsid w:val="00E0031E"/>
    <w:rsid w:val="00E00FD5"/>
    <w:rsid w:val="00E01956"/>
    <w:rsid w:val="00E01C56"/>
    <w:rsid w:val="00E02047"/>
    <w:rsid w:val="00E023E5"/>
    <w:rsid w:val="00E026D4"/>
    <w:rsid w:val="00E02837"/>
    <w:rsid w:val="00E0443C"/>
    <w:rsid w:val="00E04ADD"/>
    <w:rsid w:val="00E04B4F"/>
    <w:rsid w:val="00E05DAA"/>
    <w:rsid w:val="00E06916"/>
    <w:rsid w:val="00E06FD6"/>
    <w:rsid w:val="00E071D5"/>
    <w:rsid w:val="00E074C1"/>
    <w:rsid w:val="00E07B79"/>
    <w:rsid w:val="00E07CDC"/>
    <w:rsid w:val="00E1006A"/>
    <w:rsid w:val="00E10481"/>
    <w:rsid w:val="00E104B0"/>
    <w:rsid w:val="00E104CA"/>
    <w:rsid w:val="00E105B9"/>
    <w:rsid w:val="00E1079E"/>
    <w:rsid w:val="00E10909"/>
    <w:rsid w:val="00E109AC"/>
    <w:rsid w:val="00E10F6A"/>
    <w:rsid w:val="00E112FA"/>
    <w:rsid w:val="00E126D9"/>
    <w:rsid w:val="00E12CED"/>
    <w:rsid w:val="00E13D2C"/>
    <w:rsid w:val="00E13EE3"/>
    <w:rsid w:val="00E148CD"/>
    <w:rsid w:val="00E1491B"/>
    <w:rsid w:val="00E14C1C"/>
    <w:rsid w:val="00E14E22"/>
    <w:rsid w:val="00E14FF5"/>
    <w:rsid w:val="00E15713"/>
    <w:rsid w:val="00E15740"/>
    <w:rsid w:val="00E163B7"/>
    <w:rsid w:val="00E16682"/>
    <w:rsid w:val="00E1678A"/>
    <w:rsid w:val="00E168DB"/>
    <w:rsid w:val="00E1708C"/>
    <w:rsid w:val="00E17549"/>
    <w:rsid w:val="00E17A22"/>
    <w:rsid w:val="00E17BAE"/>
    <w:rsid w:val="00E17CC3"/>
    <w:rsid w:val="00E17E85"/>
    <w:rsid w:val="00E17E99"/>
    <w:rsid w:val="00E2002A"/>
    <w:rsid w:val="00E2055A"/>
    <w:rsid w:val="00E20E7A"/>
    <w:rsid w:val="00E21F2D"/>
    <w:rsid w:val="00E221A4"/>
    <w:rsid w:val="00E22A26"/>
    <w:rsid w:val="00E22DD9"/>
    <w:rsid w:val="00E23166"/>
    <w:rsid w:val="00E2336E"/>
    <w:rsid w:val="00E23655"/>
    <w:rsid w:val="00E23AB9"/>
    <w:rsid w:val="00E23AC4"/>
    <w:rsid w:val="00E23ED2"/>
    <w:rsid w:val="00E24329"/>
    <w:rsid w:val="00E24FB6"/>
    <w:rsid w:val="00E256F7"/>
    <w:rsid w:val="00E25995"/>
    <w:rsid w:val="00E25B2B"/>
    <w:rsid w:val="00E25D57"/>
    <w:rsid w:val="00E26257"/>
    <w:rsid w:val="00E264AD"/>
    <w:rsid w:val="00E27059"/>
    <w:rsid w:val="00E27074"/>
    <w:rsid w:val="00E27E1C"/>
    <w:rsid w:val="00E300F2"/>
    <w:rsid w:val="00E31966"/>
    <w:rsid w:val="00E31E81"/>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50E"/>
    <w:rsid w:val="00E40A1E"/>
    <w:rsid w:val="00E40CBB"/>
    <w:rsid w:val="00E41CF2"/>
    <w:rsid w:val="00E41D23"/>
    <w:rsid w:val="00E4297F"/>
    <w:rsid w:val="00E438F7"/>
    <w:rsid w:val="00E43A0F"/>
    <w:rsid w:val="00E43E29"/>
    <w:rsid w:val="00E43EE5"/>
    <w:rsid w:val="00E44496"/>
    <w:rsid w:val="00E44ACD"/>
    <w:rsid w:val="00E44CB9"/>
    <w:rsid w:val="00E4504A"/>
    <w:rsid w:val="00E45343"/>
    <w:rsid w:val="00E45B97"/>
    <w:rsid w:val="00E46852"/>
    <w:rsid w:val="00E46AB1"/>
    <w:rsid w:val="00E47067"/>
    <w:rsid w:val="00E475F0"/>
    <w:rsid w:val="00E479BA"/>
    <w:rsid w:val="00E479FF"/>
    <w:rsid w:val="00E50365"/>
    <w:rsid w:val="00E50FC4"/>
    <w:rsid w:val="00E51392"/>
    <w:rsid w:val="00E515B1"/>
    <w:rsid w:val="00E51662"/>
    <w:rsid w:val="00E51D32"/>
    <w:rsid w:val="00E5269A"/>
    <w:rsid w:val="00E52D8E"/>
    <w:rsid w:val="00E535D1"/>
    <w:rsid w:val="00E536FC"/>
    <w:rsid w:val="00E53911"/>
    <w:rsid w:val="00E539DB"/>
    <w:rsid w:val="00E53AA6"/>
    <w:rsid w:val="00E53C6C"/>
    <w:rsid w:val="00E53CB2"/>
    <w:rsid w:val="00E53D6A"/>
    <w:rsid w:val="00E5424C"/>
    <w:rsid w:val="00E545BA"/>
    <w:rsid w:val="00E54898"/>
    <w:rsid w:val="00E55194"/>
    <w:rsid w:val="00E55558"/>
    <w:rsid w:val="00E55BB8"/>
    <w:rsid w:val="00E56344"/>
    <w:rsid w:val="00E56B6A"/>
    <w:rsid w:val="00E57A7C"/>
    <w:rsid w:val="00E57CCA"/>
    <w:rsid w:val="00E57E87"/>
    <w:rsid w:val="00E6020D"/>
    <w:rsid w:val="00E60716"/>
    <w:rsid w:val="00E608F2"/>
    <w:rsid w:val="00E60DE1"/>
    <w:rsid w:val="00E61076"/>
    <w:rsid w:val="00E61812"/>
    <w:rsid w:val="00E62CF0"/>
    <w:rsid w:val="00E62E5D"/>
    <w:rsid w:val="00E63843"/>
    <w:rsid w:val="00E65073"/>
    <w:rsid w:val="00E65E8C"/>
    <w:rsid w:val="00E66800"/>
    <w:rsid w:val="00E66D78"/>
    <w:rsid w:val="00E6725D"/>
    <w:rsid w:val="00E673C1"/>
    <w:rsid w:val="00E67779"/>
    <w:rsid w:val="00E67C5C"/>
    <w:rsid w:val="00E67E55"/>
    <w:rsid w:val="00E70338"/>
    <w:rsid w:val="00E7039E"/>
    <w:rsid w:val="00E70504"/>
    <w:rsid w:val="00E70591"/>
    <w:rsid w:val="00E70D61"/>
    <w:rsid w:val="00E70F32"/>
    <w:rsid w:val="00E71198"/>
    <w:rsid w:val="00E719A2"/>
    <w:rsid w:val="00E71E4F"/>
    <w:rsid w:val="00E72486"/>
    <w:rsid w:val="00E724EF"/>
    <w:rsid w:val="00E7264E"/>
    <w:rsid w:val="00E72651"/>
    <w:rsid w:val="00E72A82"/>
    <w:rsid w:val="00E7311B"/>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7730D"/>
    <w:rsid w:val="00E77E37"/>
    <w:rsid w:val="00E8011B"/>
    <w:rsid w:val="00E801FE"/>
    <w:rsid w:val="00E80622"/>
    <w:rsid w:val="00E80768"/>
    <w:rsid w:val="00E80E1E"/>
    <w:rsid w:val="00E81508"/>
    <w:rsid w:val="00E82135"/>
    <w:rsid w:val="00E82862"/>
    <w:rsid w:val="00E82CA0"/>
    <w:rsid w:val="00E82E17"/>
    <w:rsid w:val="00E8398E"/>
    <w:rsid w:val="00E83E34"/>
    <w:rsid w:val="00E83EE7"/>
    <w:rsid w:val="00E84AD4"/>
    <w:rsid w:val="00E84B82"/>
    <w:rsid w:val="00E8534F"/>
    <w:rsid w:val="00E854EA"/>
    <w:rsid w:val="00E85A82"/>
    <w:rsid w:val="00E85EC9"/>
    <w:rsid w:val="00E865AD"/>
    <w:rsid w:val="00E86BAE"/>
    <w:rsid w:val="00E876A3"/>
    <w:rsid w:val="00E87DC5"/>
    <w:rsid w:val="00E903A5"/>
    <w:rsid w:val="00E90A19"/>
    <w:rsid w:val="00E912E5"/>
    <w:rsid w:val="00E91460"/>
    <w:rsid w:val="00E915F1"/>
    <w:rsid w:val="00E9189B"/>
    <w:rsid w:val="00E91A07"/>
    <w:rsid w:val="00E91C42"/>
    <w:rsid w:val="00E91F72"/>
    <w:rsid w:val="00E92341"/>
    <w:rsid w:val="00E92EA9"/>
    <w:rsid w:val="00E93635"/>
    <w:rsid w:val="00E94F06"/>
    <w:rsid w:val="00E95243"/>
    <w:rsid w:val="00E956CB"/>
    <w:rsid w:val="00E960B8"/>
    <w:rsid w:val="00E9656E"/>
    <w:rsid w:val="00E96AEE"/>
    <w:rsid w:val="00E96D1C"/>
    <w:rsid w:val="00E97103"/>
    <w:rsid w:val="00E9762E"/>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0B1"/>
    <w:rsid w:val="00EA3893"/>
    <w:rsid w:val="00EA3BA1"/>
    <w:rsid w:val="00EA424E"/>
    <w:rsid w:val="00EA449C"/>
    <w:rsid w:val="00EA4F1E"/>
    <w:rsid w:val="00EA4F7D"/>
    <w:rsid w:val="00EA57B8"/>
    <w:rsid w:val="00EA5F9C"/>
    <w:rsid w:val="00EA6108"/>
    <w:rsid w:val="00EA633B"/>
    <w:rsid w:val="00EA659C"/>
    <w:rsid w:val="00EA663E"/>
    <w:rsid w:val="00EA7185"/>
    <w:rsid w:val="00EA7206"/>
    <w:rsid w:val="00EB0A68"/>
    <w:rsid w:val="00EB0C16"/>
    <w:rsid w:val="00EB0E6A"/>
    <w:rsid w:val="00EB0FE6"/>
    <w:rsid w:val="00EB1609"/>
    <w:rsid w:val="00EB16EB"/>
    <w:rsid w:val="00EB182C"/>
    <w:rsid w:val="00EB19D9"/>
    <w:rsid w:val="00EB2287"/>
    <w:rsid w:val="00EB256A"/>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2D6"/>
    <w:rsid w:val="00EC1394"/>
    <w:rsid w:val="00EC1507"/>
    <w:rsid w:val="00EC20D7"/>
    <w:rsid w:val="00EC226A"/>
    <w:rsid w:val="00EC229B"/>
    <w:rsid w:val="00EC28DD"/>
    <w:rsid w:val="00EC2EE6"/>
    <w:rsid w:val="00EC3012"/>
    <w:rsid w:val="00EC3491"/>
    <w:rsid w:val="00EC3713"/>
    <w:rsid w:val="00EC37A0"/>
    <w:rsid w:val="00EC3FA5"/>
    <w:rsid w:val="00EC45C9"/>
    <w:rsid w:val="00EC552D"/>
    <w:rsid w:val="00EC5B93"/>
    <w:rsid w:val="00EC5C91"/>
    <w:rsid w:val="00EC774B"/>
    <w:rsid w:val="00ED0690"/>
    <w:rsid w:val="00ED0C2F"/>
    <w:rsid w:val="00ED13EB"/>
    <w:rsid w:val="00ED1462"/>
    <w:rsid w:val="00ED14A1"/>
    <w:rsid w:val="00ED17FA"/>
    <w:rsid w:val="00ED1856"/>
    <w:rsid w:val="00ED2097"/>
    <w:rsid w:val="00ED215E"/>
    <w:rsid w:val="00ED24B6"/>
    <w:rsid w:val="00ED25D2"/>
    <w:rsid w:val="00ED2C88"/>
    <w:rsid w:val="00ED35C0"/>
    <w:rsid w:val="00ED3F38"/>
    <w:rsid w:val="00ED4124"/>
    <w:rsid w:val="00ED4C60"/>
    <w:rsid w:val="00ED4D2F"/>
    <w:rsid w:val="00ED5030"/>
    <w:rsid w:val="00ED547D"/>
    <w:rsid w:val="00ED596C"/>
    <w:rsid w:val="00ED5ACF"/>
    <w:rsid w:val="00ED5D6E"/>
    <w:rsid w:val="00ED5D88"/>
    <w:rsid w:val="00ED6B34"/>
    <w:rsid w:val="00ED6D2A"/>
    <w:rsid w:val="00ED7CA1"/>
    <w:rsid w:val="00EE0174"/>
    <w:rsid w:val="00EE01D1"/>
    <w:rsid w:val="00EE077B"/>
    <w:rsid w:val="00EE083C"/>
    <w:rsid w:val="00EE0D6A"/>
    <w:rsid w:val="00EE12E9"/>
    <w:rsid w:val="00EE13A7"/>
    <w:rsid w:val="00EE27C2"/>
    <w:rsid w:val="00EE2B55"/>
    <w:rsid w:val="00EE32B8"/>
    <w:rsid w:val="00EE3341"/>
    <w:rsid w:val="00EE3445"/>
    <w:rsid w:val="00EE35F5"/>
    <w:rsid w:val="00EE3D30"/>
    <w:rsid w:val="00EE3DB2"/>
    <w:rsid w:val="00EE418F"/>
    <w:rsid w:val="00EE4436"/>
    <w:rsid w:val="00EE4A44"/>
    <w:rsid w:val="00EE4BBE"/>
    <w:rsid w:val="00EE546C"/>
    <w:rsid w:val="00EE563D"/>
    <w:rsid w:val="00EE5DFC"/>
    <w:rsid w:val="00EE60E7"/>
    <w:rsid w:val="00EE63B6"/>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C5"/>
    <w:rsid w:val="00EF3DDE"/>
    <w:rsid w:val="00EF3F1A"/>
    <w:rsid w:val="00EF42CE"/>
    <w:rsid w:val="00EF463E"/>
    <w:rsid w:val="00EF541D"/>
    <w:rsid w:val="00EF571F"/>
    <w:rsid w:val="00EF579C"/>
    <w:rsid w:val="00EF57BB"/>
    <w:rsid w:val="00EF585C"/>
    <w:rsid w:val="00EF5B95"/>
    <w:rsid w:val="00EF5C28"/>
    <w:rsid w:val="00EF60B7"/>
    <w:rsid w:val="00EF613D"/>
    <w:rsid w:val="00EF630B"/>
    <w:rsid w:val="00EF7096"/>
    <w:rsid w:val="00F005E5"/>
    <w:rsid w:val="00F00922"/>
    <w:rsid w:val="00F0102C"/>
    <w:rsid w:val="00F0106B"/>
    <w:rsid w:val="00F010FB"/>
    <w:rsid w:val="00F0137B"/>
    <w:rsid w:val="00F0139C"/>
    <w:rsid w:val="00F020E1"/>
    <w:rsid w:val="00F0221D"/>
    <w:rsid w:val="00F02DE5"/>
    <w:rsid w:val="00F02F78"/>
    <w:rsid w:val="00F0324F"/>
    <w:rsid w:val="00F03AA2"/>
    <w:rsid w:val="00F03EBD"/>
    <w:rsid w:val="00F043F9"/>
    <w:rsid w:val="00F04E02"/>
    <w:rsid w:val="00F05558"/>
    <w:rsid w:val="00F05618"/>
    <w:rsid w:val="00F0595E"/>
    <w:rsid w:val="00F05A7B"/>
    <w:rsid w:val="00F0622D"/>
    <w:rsid w:val="00F06454"/>
    <w:rsid w:val="00F06AC9"/>
    <w:rsid w:val="00F06CB2"/>
    <w:rsid w:val="00F06E72"/>
    <w:rsid w:val="00F07188"/>
    <w:rsid w:val="00F07C8A"/>
    <w:rsid w:val="00F07D8B"/>
    <w:rsid w:val="00F1013B"/>
    <w:rsid w:val="00F104D0"/>
    <w:rsid w:val="00F105A3"/>
    <w:rsid w:val="00F10840"/>
    <w:rsid w:val="00F116E1"/>
    <w:rsid w:val="00F11A19"/>
    <w:rsid w:val="00F11A87"/>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9EF"/>
    <w:rsid w:val="00F17E02"/>
    <w:rsid w:val="00F17E22"/>
    <w:rsid w:val="00F20017"/>
    <w:rsid w:val="00F2006C"/>
    <w:rsid w:val="00F20776"/>
    <w:rsid w:val="00F21051"/>
    <w:rsid w:val="00F2106E"/>
    <w:rsid w:val="00F21353"/>
    <w:rsid w:val="00F21514"/>
    <w:rsid w:val="00F21AE7"/>
    <w:rsid w:val="00F21B8E"/>
    <w:rsid w:val="00F21CAF"/>
    <w:rsid w:val="00F222D7"/>
    <w:rsid w:val="00F223A5"/>
    <w:rsid w:val="00F223BD"/>
    <w:rsid w:val="00F223EA"/>
    <w:rsid w:val="00F22490"/>
    <w:rsid w:val="00F228E1"/>
    <w:rsid w:val="00F22A7C"/>
    <w:rsid w:val="00F22EE2"/>
    <w:rsid w:val="00F232DA"/>
    <w:rsid w:val="00F23613"/>
    <w:rsid w:val="00F24874"/>
    <w:rsid w:val="00F24980"/>
    <w:rsid w:val="00F24B20"/>
    <w:rsid w:val="00F24EF6"/>
    <w:rsid w:val="00F258FF"/>
    <w:rsid w:val="00F25C36"/>
    <w:rsid w:val="00F26145"/>
    <w:rsid w:val="00F26345"/>
    <w:rsid w:val="00F2634C"/>
    <w:rsid w:val="00F26ACA"/>
    <w:rsid w:val="00F26D6D"/>
    <w:rsid w:val="00F273A0"/>
    <w:rsid w:val="00F2759A"/>
    <w:rsid w:val="00F30616"/>
    <w:rsid w:val="00F319F9"/>
    <w:rsid w:val="00F32AF9"/>
    <w:rsid w:val="00F3324A"/>
    <w:rsid w:val="00F33B96"/>
    <w:rsid w:val="00F346B1"/>
    <w:rsid w:val="00F3484E"/>
    <w:rsid w:val="00F34E84"/>
    <w:rsid w:val="00F34FB3"/>
    <w:rsid w:val="00F35FD4"/>
    <w:rsid w:val="00F36323"/>
    <w:rsid w:val="00F36F16"/>
    <w:rsid w:val="00F37507"/>
    <w:rsid w:val="00F40042"/>
    <w:rsid w:val="00F40529"/>
    <w:rsid w:val="00F415F2"/>
    <w:rsid w:val="00F41B47"/>
    <w:rsid w:val="00F42037"/>
    <w:rsid w:val="00F423F6"/>
    <w:rsid w:val="00F42415"/>
    <w:rsid w:val="00F424D3"/>
    <w:rsid w:val="00F4284C"/>
    <w:rsid w:val="00F42EAD"/>
    <w:rsid w:val="00F43194"/>
    <w:rsid w:val="00F43DD9"/>
    <w:rsid w:val="00F443B0"/>
    <w:rsid w:val="00F444E7"/>
    <w:rsid w:val="00F447EA"/>
    <w:rsid w:val="00F44943"/>
    <w:rsid w:val="00F44AFD"/>
    <w:rsid w:val="00F44DC4"/>
    <w:rsid w:val="00F453DF"/>
    <w:rsid w:val="00F46096"/>
    <w:rsid w:val="00F4680D"/>
    <w:rsid w:val="00F46ACA"/>
    <w:rsid w:val="00F47106"/>
    <w:rsid w:val="00F4737E"/>
    <w:rsid w:val="00F47D5F"/>
    <w:rsid w:val="00F47E5F"/>
    <w:rsid w:val="00F50623"/>
    <w:rsid w:val="00F510E3"/>
    <w:rsid w:val="00F511EE"/>
    <w:rsid w:val="00F516CB"/>
    <w:rsid w:val="00F5170E"/>
    <w:rsid w:val="00F51D28"/>
    <w:rsid w:val="00F51E4D"/>
    <w:rsid w:val="00F52858"/>
    <w:rsid w:val="00F533F9"/>
    <w:rsid w:val="00F53512"/>
    <w:rsid w:val="00F539AC"/>
    <w:rsid w:val="00F53D94"/>
    <w:rsid w:val="00F5420D"/>
    <w:rsid w:val="00F544FE"/>
    <w:rsid w:val="00F54768"/>
    <w:rsid w:val="00F54AAB"/>
    <w:rsid w:val="00F54ADC"/>
    <w:rsid w:val="00F552EC"/>
    <w:rsid w:val="00F553E8"/>
    <w:rsid w:val="00F55AA3"/>
    <w:rsid w:val="00F55DFC"/>
    <w:rsid w:val="00F56C88"/>
    <w:rsid w:val="00F576E2"/>
    <w:rsid w:val="00F57BDA"/>
    <w:rsid w:val="00F57F43"/>
    <w:rsid w:val="00F60058"/>
    <w:rsid w:val="00F6066A"/>
    <w:rsid w:val="00F60688"/>
    <w:rsid w:val="00F60B30"/>
    <w:rsid w:val="00F60D88"/>
    <w:rsid w:val="00F60DC0"/>
    <w:rsid w:val="00F61248"/>
    <w:rsid w:val="00F61281"/>
    <w:rsid w:val="00F613C3"/>
    <w:rsid w:val="00F626F5"/>
    <w:rsid w:val="00F629DE"/>
    <w:rsid w:val="00F633B1"/>
    <w:rsid w:val="00F638B4"/>
    <w:rsid w:val="00F6394E"/>
    <w:rsid w:val="00F63B05"/>
    <w:rsid w:val="00F643C2"/>
    <w:rsid w:val="00F64942"/>
    <w:rsid w:val="00F64A0B"/>
    <w:rsid w:val="00F650F5"/>
    <w:rsid w:val="00F6557B"/>
    <w:rsid w:val="00F65A81"/>
    <w:rsid w:val="00F65C5A"/>
    <w:rsid w:val="00F666B5"/>
    <w:rsid w:val="00F67275"/>
    <w:rsid w:val="00F67EF9"/>
    <w:rsid w:val="00F703DF"/>
    <w:rsid w:val="00F705EB"/>
    <w:rsid w:val="00F70AF9"/>
    <w:rsid w:val="00F713E2"/>
    <w:rsid w:val="00F71567"/>
    <w:rsid w:val="00F7187B"/>
    <w:rsid w:val="00F718A4"/>
    <w:rsid w:val="00F72698"/>
    <w:rsid w:val="00F728AA"/>
    <w:rsid w:val="00F72AD3"/>
    <w:rsid w:val="00F72C8A"/>
    <w:rsid w:val="00F72CA8"/>
    <w:rsid w:val="00F72D90"/>
    <w:rsid w:val="00F72EA8"/>
    <w:rsid w:val="00F73137"/>
    <w:rsid w:val="00F736B9"/>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1A04"/>
    <w:rsid w:val="00F81B43"/>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5B14"/>
    <w:rsid w:val="00F86769"/>
    <w:rsid w:val="00F8676D"/>
    <w:rsid w:val="00F86BC4"/>
    <w:rsid w:val="00F86C16"/>
    <w:rsid w:val="00F8798B"/>
    <w:rsid w:val="00F87A90"/>
    <w:rsid w:val="00F9015C"/>
    <w:rsid w:val="00F9034D"/>
    <w:rsid w:val="00F90624"/>
    <w:rsid w:val="00F907AF"/>
    <w:rsid w:val="00F90959"/>
    <w:rsid w:val="00F90E09"/>
    <w:rsid w:val="00F91CBC"/>
    <w:rsid w:val="00F91E36"/>
    <w:rsid w:val="00F922ED"/>
    <w:rsid w:val="00F930CD"/>
    <w:rsid w:val="00F934CF"/>
    <w:rsid w:val="00F93646"/>
    <w:rsid w:val="00F93A0A"/>
    <w:rsid w:val="00F93CE0"/>
    <w:rsid w:val="00F93E61"/>
    <w:rsid w:val="00F94A71"/>
    <w:rsid w:val="00F94B7C"/>
    <w:rsid w:val="00F94CCA"/>
    <w:rsid w:val="00F9535C"/>
    <w:rsid w:val="00F95780"/>
    <w:rsid w:val="00F95EFB"/>
    <w:rsid w:val="00F9624E"/>
    <w:rsid w:val="00F96923"/>
    <w:rsid w:val="00F96E26"/>
    <w:rsid w:val="00F970DB"/>
    <w:rsid w:val="00F97422"/>
    <w:rsid w:val="00F9766C"/>
    <w:rsid w:val="00F97AD7"/>
    <w:rsid w:val="00FA008C"/>
    <w:rsid w:val="00FA0431"/>
    <w:rsid w:val="00FA0577"/>
    <w:rsid w:val="00FA086C"/>
    <w:rsid w:val="00FA0870"/>
    <w:rsid w:val="00FA0BC5"/>
    <w:rsid w:val="00FA0FFB"/>
    <w:rsid w:val="00FA1441"/>
    <w:rsid w:val="00FA203F"/>
    <w:rsid w:val="00FA297B"/>
    <w:rsid w:val="00FA2D8A"/>
    <w:rsid w:val="00FA38A1"/>
    <w:rsid w:val="00FA3C01"/>
    <w:rsid w:val="00FA3F41"/>
    <w:rsid w:val="00FA4A3B"/>
    <w:rsid w:val="00FA4ABD"/>
    <w:rsid w:val="00FA4B26"/>
    <w:rsid w:val="00FA5DD8"/>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15F"/>
    <w:rsid w:val="00FB4443"/>
    <w:rsid w:val="00FB50C2"/>
    <w:rsid w:val="00FB529D"/>
    <w:rsid w:val="00FB56C5"/>
    <w:rsid w:val="00FB57EF"/>
    <w:rsid w:val="00FB59E5"/>
    <w:rsid w:val="00FB5AE6"/>
    <w:rsid w:val="00FB5FB0"/>
    <w:rsid w:val="00FB6152"/>
    <w:rsid w:val="00FB65EB"/>
    <w:rsid w:val="00FB6624"/>
    <w:rsid w:val="00FB687B"/>
    <w:rsid w:val="00FB6F0E"/>
    <w:rsid w:val="00FB76E8"/>
    <w:rsid w:val="00FB7F99"/>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4ED9"/>
    <w:rsid w:val="00FC503B"/>
    <w:rsid w:val="00FC5301"/>
    <w:rsid w:val="00FC588B"/>
    <w:rsid w:val="00FC5B26"/>
    <w:rsid w:val="00FC5F5C"/>
    <w:rsid w:val="00FC6028"/>
    <w:rsid w:val="00FC635D"/>
    <w:rsid w:val="00FC66B8"/>
    <w:rsid w:val="00FC6947"/>
    <w:rsid w:val="00FC6E6C"/>
    <w:rsid w:val="00FC6E74"/>
    <w:rsid w:val="00FC6FC5"/>
    <w:rsid w:val="00FC7186"/>
    <w:rsid w:val="00FC72C5"/>
    <w:rsid w:val="00FC742F"/>
    <w:rsid w:val="00FC7643"/>
    <w:rsid w:val="00FC7C89"/>
    <w:rsid w:val="00FC7E1A"/>
    <w:rsid w:val="00FD0318"/>
    <w:rsid w:val="00FD0913"/>
    <w:rsid w:val="00FD0A48"/>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979"/>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1BB8"/>
    <w:rsid w:val="00FF2265"/>
    <w:rsid w:val="00FF3496"/>
    <w:rsid w:val="00FF3CA1"/>
    <w:rsid w:val="00FF4177"/>
    <w:rsid w:val="00FF4675"/>
    <w:rsid w:val="00FF48C8"/>
    <w:rsid w:val="00FF6FFF"/>
    <w:rsid w:val="00FF7927"/>
    <w:rsid w:val="00FF7932"/>
    <w:rsid w:val="0146B628"/>
    <w:rsid w:val="0178BB9A"/>
    <w:rsid w:val="067E91E8"/>
    <w:rsid w:val="0A991624"/>
    <w:rsid w:val="0C0BB5AD"/>
    <w:rsid w:val="0DACEF0D"/>
    <w:rsid w:val="0DE94669"/>
    <w:rsid w:val="12553482"/>
    <w:rsid w:val="1314F8E0"/>
    <w:rsid w:val="1385B6D2"/>
    <w:rsid w:val="1483D148"/>
    <w:rsid w:val="14D3A852"/>
    <w:rsid w:val="151A4894"/>
    <w:rsid w:val="1753BD34"/>
    <w:rsid w:val="1BEA136B"/>
    <w:rsid w:val="1C9D7209"/>
    <w:rsid w:val="202BAA4F"/>
    <w:rsid w:val="219C4F16"/>
    <w:rsid w:val="21BE085E"/>
    <w:rsid w:val="230D0C0C"/>
    <w:rsid w:val="26BBD669"/>
    <w:rsid w:val="27B79E6D"/>
    <w:rsid w:val="28941137"/>
    <w:rsid w:val="2A077A8A"/>
    <w:rsid w:val="2ABCE97C"/>
    <w:rsid w:val="2F4869E7"/>
    <w:rsid w:val="2F8AE2B9"/>
    <w:rsid w:val="305BD5BD"/>
    <w:rsid w:val="33F45267"/>
    <w:rsid w:val="362EDC4A"/>
    <w:rsid w:val="40E600C9"/>
    <w:rsid w:val="4288078B"/>
    <w:rsid w:val="489D903C"/>
    <w:rsid w:val="49757D99"/>
    <w:rsid w:val="4A821806"/>
    <w:rsid w:val="5A85AF3D"/>
    <w:rsid w:val="5C8F51BA"/>
    <w:rsid w:val="606CDE48"/>
    <w:rsid w:val="61988C1E"/>
    <w:rsid w:val="65283D9F"/>
    <w:rsid w:val="68171A20"/>
    <w:rsid w:val="6D4BD2C7"/>
    <w:rsid w:val="71C868A7"/>
    <w:rsid w:val="750BF5E6"/>
    <w:rsid w:val="7DA64CE0"/>
    <w:rsid w:val="7E1616F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7A065C5D-8DF8-48D9-BD3A-321DB9FC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0A30"/>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customStyle="1" w:styleId="Mencinsinresolver4">
    <w:name w:val="Mención sin resolver4"/>
    <w:basedOn w:val="Fuentedeprrafopredeter"/>
    <w:uiPriority w:val="99"/>
    <w:semiHidden/>
    <w:unhideWhenUsed/>
    <w:rsid w:val="0068396C"/>
    <w:rPr>
      <w:color w:val="605E5C"/>
      <w:shd w:val="clear" w:color="auto" w:fill="E1DFDD"/>
    </w:rPr>
  </w:style>
  <w:style w:type="character" w:styleId="Mencinsinresolver">
    <w:name w:val="Unresolved Mention"/>
    <w:basedOn w:val="Fuentedeprrafopredeter"/>
    <w:uiPriority w:val="99"/>
    <w:semiHidden/>
    <w:unhideWhenUsed/>
    <w:rsid w:val="002D436D"/>
    <w:rPr>
      <w:color w:val="605E5C"/>
      <w:shd w:val="clear" w:color="auto" w:fill="E1DFDD"/>
    </w:rPr>
  </w:style>
  <w:style w:type="character" w:customStyle="1" w:styleId="cf01">
    <w:name w:val="cf01"/>
    <w:basedOn w:val="Fuentedeprrafopredeter"/>
    <w:rsid w:val="00C679C2"/>
    <w:rPr>
      <w:rFonts w:ascii="Segoe UI" w:hAnsi="Segoe UI" w:cs="Segoe UI" w:hint="default"/>
      <w:sz w:val="18"/>
      <w:szCs w:val="18"/>
    </w:rPr>
  </w:style>
  <w:style w:type="character" w:customStyle="1" w:styleId="PiedepginaCar">
    <w:name w:val="Pie de página Car"/>
    <w:basedOn w:val="Fuentedeprrafopredeter"/>
    <w:link w:val="Piedepgina"/>
    <w:uiPriority w:val="99"/>
    <w:rsid w:val="005B190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2956478">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246752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png"/><Relationship Id="rId26" Type="http://schemas.openxmlformats.org/officeDocument/2006/relationships/chart" Target="charts/chart5.xml"/><Relationship Id="rId39" Type="http://schemas.openxmlformats.org/officeDocument/2006/relationships/theme" Target="theme/theme1.xml"/><Relationship Id="rId21" Type="http://schemas.openxmlformats.org/officeDocument/2006/relationships/hyperlink" Target="http://www.inegi.org.mx/" TargetMode="External"/><Relationship Id="rId34" Type="http://schemas.openxmlformats.org/officeDocument/2006/relationships/hyperlink" Target="http://www.inegi.org.mx/programas/emoe/2018/"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chart" Target="charts/chart4.xml"/><Relationship Id="rId33" Type="http://schemas.openxmlformats.org/officeDocument/2006/relationships/image" Target="media/image6.gi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3.xml"/><Relationship Id="rId32" Type="http://schemas.openxmlformats.org/officeDocument/2006/relationships/hyperlink" Target="javascript:AddMetaDato('2951','Sistema%20de%20indicadores%20c&#237;clicos','');"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hyperlink" Target="https://www.inegi.org.mx/app/biblioteca/ficha.html?upc=702825099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chart" Target="charts/chart6.xml"/><Relationship Id="rId30" Type="http://schemas.openxmlformats.org/officeDocument/2006/relationships/hyperlink" Target="https://www.inegi.org.mx/programas/emoe/2018/" TargetMode="External"/><Relationship Id="rId35" Type="http://schemas.openxmlformats.org/officeDocument/2006/relationships/hyperlink" Target="https://www.inegi.org.mx/app/indicadores/?tm=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ile3\412_sub_aes\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Datos!$E$4</c:f>
              <c:strCache>
                <c:ptCount val="1"/>
                <c:pt idx="0">
                  <c:v>Serie desestacionalizada</c:v>
                </c:pt>
              </c:strCache>
            </c:strRef>
          </c:tx>
          <c:spPr>
            <a:ln w="19050">
              <a:solidFill>
                <a:srgbClr val="034DF3"/>
              </a:solidFill>
            </a:ln>
          </c:spPr>
          <c:marker>
            <c:symbol val="none"/>
          </c:marker>
          <c:cat>
            <c:multiLvlStrRef>
              <c:f>Datos!$C$197:$D$256</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Datos!$E$197:$E$256</c:f>
              <c:numCache>
                <c:formatCode>0.0_)</c:formatCode>
                <c:ptCount val="50"/>
                <c:pt idx="0">
                  <c:v>51.899967332100601</c:v>
                </c:pt>
                <c:pt idx="1">
                  <c:v>52.511663093444199</c:v>
                </c:pt>
                <c:pt idx="2">
                  <c:v>49.549037159020699</c:v>
                </c:pt>
                <c:pt idx="3">
                  <c:v>42.523673375072804</c:v>
                </c:pt>
                <c:pt idx="4">
                  <c:v>39.571290750992297</c:v>
                </c:pt>
                <c:pt idx="5">
                  <c:v>51.4885890610337</c:v>
                </c:pt>
                <c:pt idx="6">
                  <c:v>52.120818988025299</c:v>
                </c:pt>
                <c:pt idx="7">
                  <c:v>52.603268588130099</c:v>
                </c:pt>
                <c:pt idx="8">
                  <c:v>52.275022912691803</c:v>
                </c:pt>
                <c:pt idx="9">
                  <c:v>53.043297991859703</c:v>
                </c:pt>
                <c:pt idx="10">
                  <c:v>52.654989882595302</c:v>
                </c:pt>
                <c:pt idx="11">
                  <c:v>53.176555081597797</c:v>
                </c:pt>
                <c:pt idx="12">
                  <c:v>53.6893407663202</c:v>
                </c:pt>
                <c:pt idx="13">
                  <c:v>52.668443019621002</c:v>
                </c:pt>
                <c:pt idx="14">
                  <c:v>53.193277053555697</c:v>
                </c:pt>
                <c:pt idx="15">
                  <c:v>53.214268895593499</c:v>
                </c:pt>
                <c:pt idx="16">
                  <c:v>52.091664211196303</c:v>
                </c:pt>
                <c:pt idx="17">
                  <c:v>53.089687670885802</c:v>
                </c:pt>
                <c:pt idx="18">
                  <c:v>53.632071445777903</c:v>
                </c:pt>
                <c:pt idx="19">
                  <c:v>54.176952170649898</c:v>
                </c:pt>
                <c:pt idx="20">
                  <c:v>54.848753296031802</c:v>
                </c:pt>
                <c:pt idx="21">
                  <c:v>54.630054550632202</c:v>
                </c:pt>
                <c:pt idx="22">
                  <c:v>55.067438299418498</c:v>
                </c:pt>
                <c:pt idx="23">
                  <c:v>54.546604628312799</c:v>
                </c:pt>
                <c:pt idx="24">
                  <c:v>53.010395140152802</c:v>
                </c:pt>
                <c:pt idx="25">
                  <c:v>52.404720347516303</c:v>
                </c:pt>
                <c:pt idx="26">
                  <c:v>54.735359040010401</c:v>
                </c:pt>
                <c:pt idx="27">
                  <c:v>51.018268807798002</c:v>
                </c:pt>
                <c:pt idx="28">
                  <c:v>53.459260007490002</c:v>
                </c:pt>
                <c:pt idx="29">
                  <c:v>51.080771331157898</c:v>
                </c:pt>
                <c:pt idx="30">
                  <c:v>51.505947226717097</c:v>
                </c:pt>
                <c:pt idx="31">
                  <c:v>50.737871556961203</c:v>
                </c:pt>
                <c:pt idx="32">
                  <c:v>50.391311488164</c:v>
                </c:pt>
                <c:pt idx="33">
                  <c:v>52.825772123791701</c:v>
                </c:pt>
                <c:pt idx="34">
                  <c:v>52.003731526703</c:v>
                </c:pt>
                <c:pt idx="35">
                  <c:v>50.405864665245097</c:v>
                </c:pt>
                <c:pt idx="36">
                  <c:v>52.162628739470797</c:v>
                </c:pt>
                <c:pt idx="37">
                  <c:v>52.594973675196499</c:v>
                </c:pt>
                <c:pt idx="38">
                  <c:v>52.869814765698401</c:v>
                </c:pt>
                <c:pt idx="39">
                  <c:v>52.7959469407784</c:v>
                </c:pt>
                <c:pt idx="40">
                  <c:v>53.060345387994403</c:v>
                </c:pt>
                <c:pt idx="41">
                  <c:v>52.563877052129499</c:v>
                </c:pt>
                <c:pt idx="42">
                  <c:v>49.817231997515698</c:v>
                </c:pt>
                <c:pt idx="43">
                  <c:v>51.673807736452602</c:v>
                </c:pt>
                <c:pt idx="44">
                  <c:v>51.368303163483503</c:v>
                </c:pt>
                <c:pt idx="45">
                  <c:v>48.7966887947346</c:v>
                </c:pt>
                <c:pt idx="46">
                  <c:v>49.206853599105003</c:v>
                </c:pt>
                <c:pt idx="47">
                  <c:v>49.438448946298003</c:v>
                </c:pt>
                <c:pt idx="48">
                  <c:v>50.8040205975351</c:v>
                </c:pt>
                <c:pt idx="49">
                  <c:v>53.991644796969503</c:v>
                </c:pt>
              </c:numCache>
            </c:numRef>
          </c:val>
          <c:smooth val="0"/>
          <c:extLst>
            <c:ext xmlns:c16="http://schemas.microsoft.com/office/drawing/2014/chart" uri="{C3380CC4-5D6E-409C-BE32-E72D297353CC}">
              <c16:uniqueId val="{00000000-E6BF-43F8-B02E-9052CC62BA0F}"/>
            </c:ext>
          </c:extLst>
        </c:ser>
        <c:ser>
          <c:idx val="1"/>
          <c:order val="1"/>
          <c:tx>
            <c:strRef>
              <c:f>Datos!$F$4</c:f>
              <c:strCache>
                <c:ptCount val="1"/>
                <c:pt idx="0">
                  <c:v>Serie de tendencia-ciclo</c:v>
                </c:pt>
              </c:strCache>
            </c:strRef>
          </c:tx>
          <c:spPr>
            <a:ln w="12700">
              <a:solidFill>
                <a:schemeClr val="tx1"/>
              </a:solidFill>
            </a:ln>
          </c:spPr>
          <c:marker>
            <c:symbol val="none"/>
          </c:marker>
          <c:cat>
            <c:multiLvlStrRef>
              <c:f>Datos!$C$197:$D$256</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Datos!$F$197:$F$256</c:f>
              <c:numCache>
                <c:formatCode>0.0_)</c:formatCode>
                <c:ptCount val="50"/>
                <c:pt idx="0">
                  <c:v>51.664461306993502</c:v>
                </c:pt>
                <c:pt idx="1">
                  <c:v>51.526980754841802</c:v>
                </c:pt>
                <c:pt idx="2">
                  <c:v>51.451927214076498</c:v>
                </c:pt>
                <c:pt idx="3">
                  <c:v>51.458554143333401</c:v>
                </c:pt>
                <c:pt idx="4">
                  <c:v>51.564093127240099</c:v>
                </c:pt>
                <c:pt idx="5">
                  <c:v>51.758148469113202</c:v>
                </c:pt>
                <c:pt idx="6">
                  <c:v>52.002780486417898</c:v>
                </c:pt>
                <c:pt idx="7">
                  <c:v>52.288423368754003</c:v>
                </c:pt>
                <c:pt idx="8">
                  <c:v>52.564294223010599</c:v>
                </c:pt>
                <c:pt idx="9">
                  <c:v>52.797640025707203</c:v>
                </c:pt>
                <c:pt idx="10">
                  <c:v>52.980086048833797</c:v>
                </c:pt>
                <c:pt idx="11">
                  <c:v>53.098255540949701</c:v>
                </c:pt>
                <c:pt idx="12">
                  <c:v>53.140105171300199</c:v>
                </c:pt>
                <c:pt idx="13">
                  <c:v>53.114770196345098</c:v>
                </c:pt>
                <c:pt idx="14">
                  <c:v>53.0456003773037</c:v>
                </c:pt>
                <c:pt idx="15">
                  <c:v>53.012862294499897</c:v>
                </c:pt>
                <c:pt idx="16">
                  <c:v>53.095051192476802</c:v>
                </c:pt>
                <c:pt idx="17">
                  <c:v>53.3289684400456</c:v>
                </c:pt>
                <c:pt idx="18">
                  <c:v>53.730111104465102</c:v>
                </c:pt>
                <c:pt idx="19">
                  <c:v>54.198040912856001</c:v>
                </c:pt>
                <c:pt idx="20">
                  <c:v>54.582904413665702</c:v>
                </c:pt>
                <c:pt idx="21">
                  <c:v>54.7525578698855</c:v>
                </c:pt>
                <c:pt idx="22">
                  <c:v>54.578295143434197</c:v>
                </c:pt>
                <c:pt idx="23">
                  <c:v>54.066231029935899</c:v>
                </c:pt>
                <c:pt idx="24">
                  <c:v>53.330252997655599</c:v>
                </c:pt>
                <c:pt idx="25">
                  <c:v>52.552189482344602</c:v>
                </c:pt>
                <c:pt idx="26">
                  <c:v>51.900970102469103</c:v>
                </c:pt>
                <c:pt idx="27">
                  <c:v>51.440151041606498</c:v>
                </c:pt>
                <c:pt idx="28">
                  <c:v>51.153917425798497</c:v>
                </c:pt>
                <c:pt idx="29">
                  <c:v>51.012080089213399</c:v>
                </c:pt>
                <c:pt idx="30">
                  <c:v>50.9589982607012</c:v>
                </c:pt>
                <c:pt idx="31">
                  <c:v>50.976307388975201</c:v>
                </c:pt>
                <c:pt idx="32">
                  <c:v>51.081059949527599</c:v>
                </c:pt>
                <c:pt idx="33">
                  <c:v>51.283869585627201</c:v>
                </c:pt>
                <c:pt idx="34">
                  <c:v>51.5784752212532</c:v>
                </c:pt>
                <c:pt idx="35">
                  <c:v>51.937223403903197</c:v>
                </c:pt>
                <c:pt idx="36">
                  <c:v>52.301411019601701</c:v>
                </c:pt>
                <c:pt idx="37">
                  <c:v>52.6028171227521</c:v>
                </c:pt>
                <c:pt idx="38">
                  <c:v>52.779458996044397</c:v>
                </c:pt>
                <c:pt idx="39">
                  <c:v>52.838237050179103</c:v>
                </c:pt>
                <c:pt idx="40">
                  <c:v>52.773501430730398</c:v>
                </c:pt>
                <c:pt idx="41">
                  <c:v>52.532803373363997</c:v>
                </c:pt>
                <c:pt idx="42">
                  <c:v>52.078667237943101</c:v>
                </c:pt>
                <c:pt idx="43">
                  <c:v>51.474309691424601</c:v>
                </c:pt>
                <c:pt idx="44">
                  <c:v>50.838487343920001</c:v>
                </c:pt>
                <c:pt idx="45">
                  <c:v>50.311898033869099</c:v>
                </c:pt>
                <c:pt idx="46">
                  <c:v>50.036911207086497</c:v>
                </c:pt>
                <c:pt idx="47">
                  <c:v>50.0685093236673</c:v>
                </c:pt>
                <c:pt idx="48">
                  <c:v>50.358316479488202</c:v>
                </c:pt>
                <c:pt idx="49">
                  <c:v>50.775197109955002</c:v>
                </c:pt>
              </c:numCache>
            </c:numRef>
          </c:val>
          <c:smooth val="0"/>
          <c:extLst>
            <c:ext xmlns:c16="http://schemas.microsoft.com/office/drawing/2014/chart" uri="{C3380CC4-5D6E-409C-BE32-E72D297353CC}">
              <c16:uniqueId val="{00000001-E6BF-43F8-B02E-9052CC62BA0F}"/>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3"/>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Datos!$E$4</c:f>
              <c:strCache>
                <c:ptCount val="1"/>
                <c:pt idx="0">
                  <c:v>Serie desestacionalizada</c:v>
                </c:pt>
              </c:strCache>
            </c:strRef>
          </c:tx>
          <c:spPr>
            <a:ln w="19050">
              <a:solidFill>
                <a:srgbClr val="034DF3"/>
              </a:solidFill>
            </a:ln>
          </c:spPr>
          <c:marker>
            <c:symbol val="none"/>
          </c:marker>
          <c:cat>
            <c:multiLvlStrRef>
              <c:f>Datos!$C$197:$D$256</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Datos!$E$197:$E$256</c:f>
              <c:numCache>
                <c:formatCode>0.0_)</c:formatCode>
                <c:ptCount val="50"/>
                <c:pt idx="0">
                  <c:v>51.899967332100601</c:v>
                </c:pt>
                <c:pt idx="1">
                  <c:v>52.511663093444199</c:v>
                </c:pt>
                <c:pt idx="2">
                  <c:v>49.549037159020699</c:v>
                </c:pt>
                <c:pt idx="3">
                  <c:v>42.523673375072804</c:v>
                </c:pt>
                <c:pt idx="4">
                  <c:v>39.571290750992297</c:v>
                </c:pt>
                <c:pt idx="5">
                  <c:v>51.4885890610337</c:v>
                </c:pt>
                <c:pt idx="6">
                  <c:v>52.120818988025299</c:v>
                </c:pt>
                <c:pt idx="7">
                  <c:v>52.603268588130099</c:v>
                </c:pt>
                <c:pt idx="8">
                  <c:v>52.275022912691803</c:v>
                </c:pt>
                <c:pt idx="9">
                  <c:v>53.043297991859703</c:v>
                </c:pt>
                <c:pt idx="10">
                  <c:v>52.654989882595302</c:v>
                </c:pt>
                <c:pt idx="11">
                  <c:v>53.176555081597797</c:v>
                </c:pt>
                <c:pt idx="12">
                  <c:v>53.6893407663202</c:v>
                </c:pt>
                <c:pt idx="13">
                  <c:v>52.668443019621002</c:v>
                </c:pt>
                <c:pt idx="14">
                  <c:v>53.193277053555697</c:v>
                </c:pt>
                <c:pt idx="15">
                  <c:v>53.214268895593499</c:v>
                </c:pt>
                <c:pt idx="16">
                  <c:v>52.091664211196303</c:v>
                </c:pt>
                <c:pt idx="17">
                  <c:v>53.089687670885802</c:v>
                </c:pt>
                <c:pt idx="18">
                  <c:v>53.632071445777903</c:v>
                </c:pt>
                <c:pt idx="19">
                  <c:v>54.176952170649898</c:v>
                </c:pt>
                <c:pt idx="20">
                  <c:v>54.848753296031802</c:v>
                </c:pt>
                <c:pt idx="21">
                  <c:v>54.630054550632202</c:v>
                </c:pt>
                <c:pt idx="22">
                  <c:v>55.067438299418498</c:v>
                </c:pt>
                <c:pt idx="23">
                  <c:v>54.546604628312799</c:v>
                </c:pt>
                <c:pt idx="24">
                  <c:v>53.010395140152802</c:v>
                </c:pt>
                <c:pt idx="25">
                  <c:v>52.404720347516303</c:v>
                </c:pt>
                <c:pt idx="26">
                  <c:v>54.735359040010401</c:v>
                </c:pt>
                <c:pt idx="27">
                  <c:v>51.018268807798002</c:v>
                </c:pt>
                <c:pt idx="28">
                  <c:v>53.459260007490002</c:v>
                </c:pt>
                <c:pt idx="29">
                  <c:v>51.080771331157898</c:v>
                </c:pt>
                <c:pt idx="30">
                  <c:v>51.505947226717097</c:v>
                </c:pt>
                <c:pt idx="31">
                  <c:v>50.737871556961203</c:v>
                </c:pt>
                <c:pt idx="32">
                  <c:v>50.391311488164</c:v>
                </c:pt>
                <c:pt idx="33">
                  <c:v>52.825772123791701</c:v>
                </c:pt>
                <c:pt idx="34">
                  <c:v>52.003731526703</c:v>
                </c:pt>
                <c:pt idx="35">
                  <c:v>50.405864665245097</c:v>
                </c:pt>
                <c:pt idx="36">
                  <c:v>52.162628739470797</c:v>
                </c:pt>
                <c:pt idx="37">
                  <c:v>52.594973675196499</c:v>
                </c:pt>
                <c:pt idx="38">
                  <c:v>52.869814765698401</c:v>
                </c:pt>
                <c:pt idx="39">
                  <c:v>52.7959469407784</c:v>
                </c:pt>
                <c:pt idx="40">
                  <c:v>53.060345387994403</c:v>
                </c:pt>
                <c:pt idx="41">
                  <c:v>52.563877052129499</c:v>
                </c:pt>
                <c:pt idx="42">
                  <c:v>49.817231997515698</c:v>
                </c:pt>
                <c:pt idx="43">
                  <c:v>51.673807736452602</c:v>
                </c:pt>
                <c:pt idx="44">
                  <c:v>51.368303163483503</c:v>
                </c:pt>
                <c:pt idx="45">
                  <c:v>48.7966887947346</c:v>
                </c:pt>
                <c:pt idx="46">
                  <c:v>49.206853599105003</c:v>
                </c:pt>
                <c:pt idx="47">
                  <c:v>49.438448946298003</c:v>
                </c:pt>
                <c:pt idx="48">
                  <c:v>50.8040205975351</c:v>
                </c:pt>
                <c:pt idx="49">
                  <c:v>53.991644796969503</c:v>
                </c:pt>
              </c:numCache>
            </c:numRef>
          </c:val>
          <c:smooth val="0"/>
          <c:extLst>
            <c:ext xmlns:c16="http://schemas.microsoft.com/office/drawing/2014/chart" uri="{C3380CC4-5D6E-409C-BE32-E72D297353CC}">
              <c16:uniqueId val="{00000000-A0EE-42F8-A404-92DFF1747977}"/>
            </c:ext>
          </c:extLst>
        </c:ser>
        <c:ser>
          <c:idx val="1"/>
          <c:order val="1"/>
          <c:tx>
            <c:strRef>
              <c:f>Datos!$F$4</c:f>
              <c:strCache>
                <c:ptCount val="1"/>
                <c:pt idx="0">
                  <c:v>Serie de tendencia-ciclo</c:v>
                </c:pt>
              </c:strCache>
            </c:strRef>
          </c:tx>
          <c:spPr>
            <a:ln w="12700">
              <a:solidFill>
                <a:schemeClr val="tx1"/>
              </a:solidFill>
            </a:ln>
          </c:spPr>
          <c:marker>
            <c:symbol val="none"/>
          </c:marker>
          <c:cat>
            <c:multiLvlStrRef>
              <c:f>Datos!$C$197:$D$256</c:f>
              <c:multiLvlStrCache>
                <c:ptCount val="5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lvl>
                <c:lvl>
                  <c:pt idx="0">
                    <c:v>2020</c:v>
                  </c:pt>
                  <c:pt idx="12">
                    <c:v>2021</c:v>
                  </c:pt>
                  <c:pt idx="24">
                    <c:v>2022</c:v>
                  </c:pt>
                  <c:pt idx="36">
                    <c:v>2023</c:v>
                  </c:pt>
                  <c:pt idx="48">
                    <c:v>2024</c:v>
                  </c:pt>
                </c:lvl>
              </c:multiLvlStrCache>
            </c:multiLvlStrRef>
          </c:cat>
          <c:val>
            <c:numRef>
              <c:f>Datos!$F$197:$F$256</c:f>
              <c:numCache>
                <c:formatCode>0.0_)</c:formatCode>
                <c:ptCount val="50"/>
                <c:pt idx="0">
                  <c:v>51.664461306993502</c:v>
                </c:pt>
                <c:pt idx="1">
                  <c:v>51.526980754841802</c:v>
                </c:pt>
                <c:pt idx="2">
                  <c:v>51.451927214076498</c:v>
                </c:pt>
                <c:pt idx="3">
                  <c:v>51.458554143333401</c:v>
                </c:pt>
                <c:pt idx="4">
                  <c:v>51.564093127240099</c:v>
                </c:pt>
                <c:pt idx="5">
                  <c:v>51.758148469113202</c:v>
                </c:pt>
                <c:pt idx="6">
                  <c:v>52.002780486417898</c:v>
                </c:pt>
                <c:pt idx="7">
                  <c:v>52.288423368754003</c:v>
                </c:pt>
                <c:pt idx="8">
                  <c:v>52.564294223010599</c:v>
                </c:pt>
                <c:pt idx="9">
                  <c:v>52.797640025707203</c:v>
                </c:pt>
                <c:pt idx="10">
                  <c:v>52.980086048833797</c:v>
                </c:pt>
                <c:pt idx="11">
                  <c:v>53.098255540949701</c:v>
                </c:pt>
                <c:pt idx="12">
                  <c:v>53.140105171300199</c:v>
                </c:pt>
                <c:pt idx="13">
                  <c:v>53.114770196345098</c:v>
                </c:pt>
                <c:pt idx="14">
                  <c:v>53.0456003773037</c:v>
                </c:pt>
                <c:pt idx="15">
                  <c:v>53.012862294499897</c:v>
                </c:pt>
                <c:pt idx="16">
                  <c:v>53.095051192476802</c:v>
                </c:pt>
                <c:pt idx="17">
                  <c:v>53.3289684400456</c:v>
                </c:pt>
                <c:pt idx="18">
                  <c:v>53.730111104465102</c:v>
                </c:pt>
                <c:pt idx="19">
                  <c:v>54.198040912856001</c:v>
                </c:pt>
                <c:pt idx="20">
                  <c:v>54.582904413665702</c:v>
                </c:pt>
                <c:pt idx="21">
                  <c:v>54.7525578698855</c:v>
                </c:pt>
                <c:pt idx="22">
                  <c:v>54.578295143434197</c:v>
                </c:pt>
                <c:pt idx="23">
                  <c:v>54.066231029935899</c:v>
                </c:pt>
                <c:pt idx="24">
                  <c:v>53.330252997655599</c:v>
                </c:pt>
                <c:pt idx="25">
                  <c:v>52.552189482344602</c:v>
                </c:pt>
                <c:pt idx="26">
                  <c:v>51.900970102469103</c:v>
                </c:pt>
                <c:pt idx="27">
                  <c:v>51.440151041606498</c:v>
                </c:pt>
                <c:pt idx="28">
                  <c:v>51.153917425798497</c:v>
                </c:pt>
                <c:pt idx="29">
                  <c:v>51.012080089213399</c:v>
                </c:pt>
                <c:pt idx="30">
                  <c:v>50.9589982607012</c:v>
                </c:pt>
                <c:pt idx="31">
                  <c:v>50.976307388975201</c:v>
                </c:pt>
                <c:pt idx="32">
                  <c:v>51.081059949527599</c:v>
                </c:pt>
                <c:pt idx="33">
                  <c:v>51.283869585627201</c:v>
                </c:pt>
                <c:pt idx="34">
                  <c:v>51.5784752212532</c:v>
                </c:pt>
                <c:pt idx="35">
                  <c:v>51.937223403903197</c:v>
                </c:pt>
                <c:pt idx="36">
                  <c:v>52.301411019601701</c:v>
                </c:pt>
                <c:pt idx="37">
                  <c:v>52.6028171227521</c:v>
                </c:pt>
                <c:pt idx="38">
                  <c:v>52.779458996044397</c:v>
                </c:pt>
                <c:pt idx="39">
                  <c:v>52.838237050179103</c:v>
                </c:pt>
                <c:pt idx="40">
                  <c:v>52.773501430730398</c:v>
                </c:pt>
                <c:pt idx="41">
                  <c:v>52.532803373363997</c:v>
                </c:pt>
                <c:pt idx="42">
                  <c:v>52.078667237943101</c:v>
                </c:pt>
                <c:pt idx="43">
                  <c:v>51.474309691424601</c:v>
                </c:pt>
                <c:pt idx="44">
                  <c:v>50.838487343920001</c:v>
                </c:pt>
                <c:pt idx="45">
                  <c:v>50.311898033869099</c:v>
                </c:pt>
                <c:pt idx="46">
                  <c:v>50.036911207086497</c:v>
                </c:pt>
                <c:pt idx="47">
                  <c:v>50.0685093236673</c:v>
                </c:pt>
                <c:pt idx="48">
                  <c:v>50.358316479488202</c:v>
                </c:pt>
                <c:pt idx="49">
                  <c:v>50.775197109955002</c:v>
                </c:pt>
              </c:numCache>
            </c:numRef>
          </c:val>
          <c:smooth val="0"/>
          <c:extLst>
            <c:ext xmlns:c16="http://schemas.microsoft.com/office/drawing/2014/chart" uri="{C3380CC4-5D6E-409C-BE32-E72D297353CC}">
              <c16:uniqueId val="{00000001-A0EE-42F8-A404-92DFF1747977}"/>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6"/>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3"/>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8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Datos!$A$197:$B$246</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Datos!$G$197:$G$256</c:f>
              <c:numCache>
                <c:formatCode>0.0_)</c:formatCode>
                <c:ptCount val="50"/>
                <c:pt idx="0">
                  <c:v>54.109937133655897</c:v>
                </c:pt>
                <c:pt idx="1">
                  <c:v>55.332965426452603</c:v>
                </c:pt>
                <c:pt idx="2">
                  <c:v>49.527054115606298</c:v>
                </c:pt>
                <c:pt idx="3">
                  <c:v>36.727103145143602</c:v>
                </c:pt>
                <c:pt idx="4">
                  <c:v>32.687750046351297</c:v>
                </c:pt>
                <c:pt idx="5">
                  <c:v>53.804507985620198</c:v>
                </c:pt>
                <c:pt idx="6">
                  <c:v>55.374803869075201</c:v>
                </c:pt>
                <c:pt idx="7">
                  <c:v>55.149532983477002</c:v>
                </c:pt>
                <c:pt idx="8">
                  <c:v>54.316784388940199</c:v>
                </c:pt>
                <c:pt idx="9">
                  <c:v>55.239052056252298</c:v>
                </c:pt>
                <c:pt idx="10">
                  <c:v>55.090255534664898</c:v>
                </c:pt>
                <c:pt idx="11">
                  <c:v>56.585844364817902</c:v>
                </c:pt>
                <c:pt idx="12">
                  <c:v>56.163095517496203</c:v>
                </c:pt>
                <c:pt idx="13">
                  <c:v>54.919731916430102</c:v>
                </c:pt>
                <c:pt idx="14">
                  <c:v>56.116637206256698</c:v>
                </c:pt>
                <c:pt idx="15">
                  <c:v>55.085974721086998</c:v>
                </c:pt>
                <c:pt idx="16">
                  <c:v>53.295002881935602</c:v>
                </c:pt>
                <c:pt idx="17">
                  <c:v>54.136053101092799</c:v>
                </c:pt>
                <c:pt idx="18">
                  <c:v>55.098523432302201</c:v>
                </c:pt>
                <c:pt idx="19">
                  <c:v>56.3999729064384</c:v>
                </c:pt>
                <c:pt idx="20">
                  <c:v>57.0121970785682</c:v>
                </c:pt>
                <c:pt idx="21">
                  <c:v>57.419537995742502</c:v>
                </c:pt>
                <c:pt idx="22">
                  <c:v>57.067840171612197</c:v>
                </c:pt>
                <c:pt idx="23">
                  <c:v>59.677063692917301</c:v>
                </c:pt>
                <c:pt idx="24">
                  <c:v>54.3613215965878</c:v>
                </c:pt>
                <c:pt idx="25">
                  <c:v>53.533896361545402</c:v>
                </c:pt>
                <c:pt idx="26">
                  <c:v>57.831743527080498</c:v>
                </c:pt>
                <c:pt idx="27">
                  <c:v>51.282366588478197</c:v>
                </c:pt>
                <c:pt idx="28">
                  <c:v>53.226254529167797</c:v>
                </c:pt>
                <c:pt idx="29">
                  <c:v>51.008236326850898</c:v>
                </c:pt>
                <c:pt idx="30">
                  <c:v>51.502893053292503</c:v>
                </c:pt>
                <c:pt idx="31">
                  <c:v>51.386938509470298</c:v>
                </c:pt>
                <c:pt idx="32">
                  <c:v>50.0233529447015</c:v>
                </c:pt>
                <c:pt idx="33">
                  <c:v>55.104803011845199</c:v>
                </c:pt>
                <c:pt idx="34">
                  <c:v>53.118177328139197</c:v>
                </c:pt>
                <c:pt idx="35">
                  <c:v>50.214865358480203</c:v>
                </c:pt>
                <c:pt idx="36">
                  <c:v>54.104671552069703</c:v>
                </c:pt>
                <c:pt idx="37">
                  <c:v>54.550864305950697</c:v>
                </c:pt>
                <c:pt idx="38">
                  <c:v>54.538497387296601</c:v>
                </c:pt>
                <c:pt idx="39">
                  <c:v>55.039061437587101</c:v>
                </c:pt>
                <c:pt idx="40">
                  <c:v>55.805375547299803</c:v>
                </c:pt>
                <c:pt idx="41">
                  <c:v>55.8701398083169</c:v>
                </c:pt>
                <c:pt idx="42">
                  <c:v>53.858464666356902</c:v>
                </c:pt>
                <c:pt idx="43">
                  <c:v>52.425535178299398</c:v>
                </c:pt>
                <c:pt idx="44">
                  <c:v>53.261983946014702</c:v>
                </c:pt>
                <c:pt idx="45">
                  <c:v>48.388452281786897</c:v>
                </c:pt>
                <c:pt idx="46">
                  <c:v>47.318200021673299</c:v>
                </c:pt>
                <c:pt idx="47">
                  <c:v>48.7908176751518</c:v>
                </c:pt>
                <c:pt idx="48">
                  <c:v>51.969819365733599</c:v>
                </c:pt>
                <c:pt idx="49">
                  <c:v>56.2293508805069</c:v>
                </c:pt>
              </c:numCache>
            </c:numRef>
          </c:val>
          <c:smooth val="0"/>
          <c:extLst>
            <c:ext xmlns:c16="http://schemas.microsoft.com/office/drawing/2014/chart" uri="{C3380CC4-5D6E-409C-BE32-E72D297353CC}">
              <c16:uniqueId val="{00000000-68DF-494C-9335-1185DBA49049}"/>
            </c:ext>
          </c:extLst>
        </c:ser>
        <c:ser>
          <c:idx val="1"/>
          <c:order val="1"/>
          <c:tx>
            <c:strRef>
              <c:f>Datos!$H$4</c:f>
              <c:strCache>
                <c:ptCount val="1"/>
                <c:pt idx="0">
                  <c:v>Serie de tendencia-ciclo</c:v>
                </c:pt>
              </c:strCache>
            </c:strRef>
          </c:tx>
          <c:spPr>
            <a:ln w="12700">
              <a:solidFill>
                <a:schemeClr val="tx1"/>
              </a:solidFill>
            </a:ln>
          </c:spPr>
          <c:marker>
            <c:symbol val="none"/>
          </c:marker>
          <c:cat>
            <c:multiLvlStrRef>
              <c:f>Datos!$A$197:$B$246</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Datos!$H$197:$H$256</c:f>
              <c:numCache>
                <c:formatCode>0.0_)</c:formatCode>
                <c:ptCount val="50"/>
                <c:pt idx="0">
                  <c:v>53.663735873714103</c:v>
                </c:pt>
                <c:pt idx="1">
                  <c:v>53.467768203174501</c:v>
                </c:pt>
                <c:pt idx="2">
                  <c:v>53.450978642869302</c:v>
                </c:pt>
                <c:pt idx="3">
                  <c:v>53.599335140363799</c:v>
                </c:pt>
                <c:pt idx="4">
                  <c:v>53.857096238848001</c:v>
                </c:pt>
                <c:pt idx="5">
                  <c:v>54.151408363881103</c:v>
                </c:pt>
                <c:pt idx="6">
                  <c:v>54.448668313049097</c:v>
                </c:pt>
                <c:pt idx="7">
                  <c:v>54.774246290022099</c:v>
                </c:pt>
                <c:pt idx="8">
                  <c:v>55.063936751622599</c:v>
                </c:pt>
                <c:pt idx="9">
                  <c:v>55.323415210392803</c:v>
                </c:pt>
                <c:pt idx="10">
                  <c:v>55.582970364219698</c:v>
                </c:pt>
                <c:pt idx="11">
                  <c:v>55.778029914335399</c:v>
                </c:pt>
                <c:pt idx="12">
                  <c:v>55.811787274789602</c:v>
                </c:pt>
                <c:pt idx="13">
                  <c:v>55.596271726236502</c:v>
                </c:pt>
                <c:pt idx="14">
                  <c:v>55.165320505019302</c:v>
                </c:pt>
                <c:pt idx="15">
                  <c:v>54.727995568359802</c:v>
                </c:pt>
                <c:pt idx="16">
                  <c:v>54.536082973095802</c:v>
                </c:pt>
                <c:pt idx="17">
                  <c:v>54.733806203713399</c:v>
                </c:pt>
                <c:pt idx="18">
                  <c:v>55.314593221179003</c:v>
                </c:pt>
                <c:pt idx="19">
                  <c:v>56.058072517944098</c:v>
                </c:pt>
                <c:pt idx="20">
                  <c:v>56.6894541509578</c:v>
                </c:pt>
                <c:pt idx="21">
                  <c:v>56.948265261151498</c:v>
                </c:pt>
                <c:pt idx="22">
                  <c:v>56.603386429417696</c:v>
                </c:pt>
                <c:pt idx="23">
                  <c:v>55.773656368400303</c:v>
                </c:pt>
                <c:pt idx="24">
                  <c:v>54.7156304396688</c:v>
                </c:pt>
                <c:pt idx="25">
                  <c:v>53.663161153767902</c:v>
                </c:pt>
                <c:pt idx="26">
                  <c:v>52.817206912177099</c:v>
                </c:pt>
                <c:pt idx="27">
                  <c:v>52.199666874158503</c:v>
                </c:pt>
                <c:pt idx="28">
                  <c:v>51.7540434694818</c:v>
                </c:pt>
                <c:pt idx="29">
                  <c:v>51.4349544680734</c:v>
                </c:pt>
                <c:pt idx="30">
                  <c:v>51.243109480217399</c:v>
                </c:pt>
                <c:pt idx="31">
                  <c:v>51.231782517333599</c:v>
                </c:pt>
                <c:pt idx="32">
                  <c:v>51.466700865987299</c:v>
                </c:pt>
                <c:pt idx="33">
                  <c:v>51.947812066845302</c:v>
                </c:pt>
                <c:pt idx="34">
                  <c:v>52.6034106729889</c:v>
                </c:pt>
                <c:pt idx="35">
                  <c:v>53.3118057414516</c:v>
                </c:pt>
                <c:pt idx="36">
                  <c:v>53.972105146109001</c:v>
                </c:pt>
                <c:pt idx="37">
                  <c:v>54.579432484668203</c:v>
                </c:pt>
                <c:pt idx="38">
                  <c:v>55.019342375038697</c:v>
                </c:pt>
                <c:pt idx="39">
                  <c:v>55.2695614014849</c:v>
                </c:pt>
                <c:pt idx="40">
                  <c:v>55.269172736217797</c:v>
                </c:pt>
                <c:pt idx="41">
                  <c:v>54.916228688548202</c:v>
                </c:pt>
                <c:pt idx="42">
                  <c:v>54.127061642540703</c:v>
                </c:pt>
                <c:pt idx="43">
                  <c:v>53.022943720729799</c:v>
                </c:pt>
                <c:pt idx="44">
                  <c:v>51.853881798372903</c:v>
                </c:pt>
                <c:pt idx="45">
                  <c:v>50.902597204492501</c:v>
                </c:pt>
                <c:pt idx="46">
                  <c:v>50.428196568944003</c:v>
                </c:pt>
                <c:pt idx="47">
                  <c:v>50.442343319241097</c:v>
                </c:pt>
                <c:pt idx="48">
                  <c:v>50.752772978689798</c:v>
                </c:pt>
                <c:pt idx="49">
                  <c:v>51.122355700062101</c:v>
                </c:pt>
              </c:numCache>
            </c:numRef>
          </c:val>
          <c:smooth val="0"/>
          <c:extLst>
            <c:ext xmlns:c16="http://schemas.microsoft.com/office/drawing/2014/chart" uri="{C3380CC4-5D6E-409C-BE32-E72D297353CC}">
              <c16:uniqueId val="{00000001-68DF-494C-9335-1185DBA49049}"/>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5"/>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Datos!$A$197:$B$246</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Datos!$I$197:$I$256</c:f>
              <c:numCache>
                <c:formatCode>0.0_)</c:formatCode>
                <c:ptCount val="50"/>
                <c:pt idx="0">
                  <c:v>53.763955627243199</c:v>
                </c:pt>
                <c:pt idx="1">
                  <c:v>54.3819395418315</c:v>
                </c:pt>
                <c:pt idx="2">
                  <c:v>49.870090645620998</c:v>
                </c:pt>
                <c:pt idx="3">
                  <c:v>38.498539795127797</c:v>
                </c:pt>
                <c:pt idx="4">
                  <c:v>35.272973840768799</c:v>
                </c:pt>
                <c:pt idx="5">
                  <c:v>54.752490127814298</c:v>
                </c:pt>
                <c:pt idx="6">
                  <c:v>53.235082033778703</c:v>
                </c:pt>
                <c:pt idx="7">
                  <c:v>54.546263272911403</c:v>
                </c:pt>
                <c:pt idx="8">
                  <c:v>54.2534585830252</c:v>
                </c:pt>
                <c:pt idx="9">
                  <c:v>55.5109004393329</c:v>
                </c:pt>
                <c:pt idx="10">
                  <c:v>54.490551341341401</c:v>
                </c:pt>
                <c:pt idx="11">
                  <c:v>54.463528842452199</c:v>
                </c:pt>
                <c:pt idx="12">
                  <c:v>56.246479613802499</c:v>
                </c:pt>
                <c:pt idx="13">
                  <c:v>54.486385366030198</c:v>
                </c:pt>
                <c:pt idx="14">
                  <c:v>54.638088428489702</c:v>
                </c:pt>
                <c:pt idx="15">
                  <c:v>54.588877808887702</c:v>
                </c:pt>
                <c:pt idx="16">
                  <c:v>52.421315773568502</c:v>
                </c:pt>
                <c:pt idx="17">
                  <c:v>54.3002349197331</c:v>
                </c:pt>
                <c:pt idx="18">
                  <c:v>56.912755637005397</c:v>
                </c:pt>
                <c:pt idx="19">
                  <c:v>56.974014643300201</c:v>
                </c:pt>
                <c:pt idx="20">
                  <c:v>57.654720238405297</c:v>
                </c:pt>
                <c:pt idx="21">
                  <c:v>56.156008992726399</c:v>
                </c:pt>
                <c:pt idx="22">
                  <c:v>58.019865661785701</c:v>
                </c:pt>
                <c:pt idx="23">
                  <c:v>57.714443018158804</c:v>
                </c:pt>
                <c:pt idx="24">
                  <c:v>55.304581372462302</c:v>
                </c:pt>
                <c:pt idx="25">
                  <c:v>53.301015336967403</c:v>
                </c:pt>
                <c:pt idx="26">
                  <c:v>56.794438718264203</c:v>
                </c:pt>
                <c:pt idx="27">
                  <c:v>49.710092341653002</c:v>
                </c:pt>
                <c:pt idx="28">
                  <c:v>57.054361866918001</c:v>
                </c:pt>
                <c:pt idx="29">
                  <c:v>53.317950841823198</c:v>
                </c:pt>
                <c:pt idx="30">
                  <c:v>53.352891522557002</c:v>
                </c:pt>
                <c:pt idx="31">
                  <c:v>51.042496205554897</c:v>
                </c:pt>
                <c:pt idx="32">
                  <c:v>51.350365686959698</c:v>
                </c:pt>
                <c:pt idx="33">
                  <c:v>53.145247600282602</c:v>
                </c:pt>
                <c:pt idx="34">
                  <c:v>52.417356929101302</c:v>
                </c:pt>
                <c:pt idx="35">
                  <c:v>50.796149148985002</c:v>
                </c:pt>
                <c:pt idx="36">
                  <c:v>51.726535650127801</c:v>
                </c:pt>
                <c:pt idx="37">
                  <c:v>53.322207484364597</c:v>
                </c:pt>
                <c:pt idx="38">
                  <c:v>53.948632172668098</c:v>
                </c:pt>
                <c:pt idx="39">
                  <c:v>53.531654183963397</c:v>
                </c:pt>
                <c:pt idx="40">
                  <c:v>53.6700466478134</c:v>
                </c:pt>
                <c:pt idx="41">
                  <c:v>51.907501453325402</c:v>
                </c:pt>
                <c:pt idx="42">
                  <c:v>46.708044543897302</c:v>
                </c:pt>
                <c:pt idx="43">
                  <c:v>53.128658138426204</c:v>
                </c:pt>
                <c:pt idx="44">
                  <c:v>54.676782264441599</c:v>
                </c:pt>
                <c:pt idx="45">
                  <c:v>50.340577461728898</c:v>
                </c:pt>
                <c:pt idx="46">
                  <c:v>48.146005170594997</c:v>
                </c:pt>
                <c:pt idx="47">
                  <c:v>50.655554608910997</c:v>
                </c:pt>
                <c:pt idx="48">
                  <c:v>51.787985731983298</c:v>
                </c:pt>
                <c:pt idx="49">
                  <c:v>57.851013366845002</c:v>
                </c:pt>
              </c:numCache>
            </c:numRef>
          </c:val>
          <c:smooth val="0"/>
          <c:extLst>
            <c:ext xmlns:c16="http://schemas.microsoft.com/office/drawing/2014/chart" uri="{C3380CC4-5D6E-409C-BE32-E72D297353CC}">
              <c16:uniqueId val="{00000000-E291-45AB-A2F5-6A31E41DEEF9}"/>
            </c:ext>
          </c:extLst>
        </c:ser>
        <c:ser>
          <c:idx val="1"/>
          <c:order val="1"/>
          <c:tx>
            <c:strRef>
              <c:f>Datos!$J$4</c:f>
              <c:strCache>
                <c:ptCount val="1"/>
                <c:pt idx="0">
                  <c:v>Serie de tendencia-ciclo</c:v>
                </c:pt>
              </c:strCache>
            </c:strRef>
          </c:tx>
          <c:spPr>
            <a:ln w="12700">
              <a:solidFill>
                <a:schemeClr val="tx1"/>
              </a:solidFill>
            </a:ln>
          </c:spPr>
          <c:marker>
            <c:symbol val="none"/>
          </c:marker>
          <c:cat>
            <c:multiLvlStrRef>
              <c:f>Datos!$A$197:$B$246</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Datos!$J$197:$J$256</c:f>
              <c:numCache>
                <c:formatCode>0.0_)</c:formatCode>
                <c:ptCount val="50"/>
                <c:pt idx="0">
                  <c:v>53.765015180069703</c:v>
                </c:pt>
                <c:pt idx="1">
                  <c:v>53.760788352106402</c:v>
                </c:pt>
                <c:pt idx="2">
                  <c:v>53.761006658829501</c:v>
                </c:pt>
                <c:pt idx="3">
                  <c:v>53.752176645486898</c:v>
                </c:pt>
                <c:pt idx="4">
                  <c:v>53.787820904360998</c:v>
                </c:pt>
                <c:pt idx="5">
                  <c:v>53.905602984802002</c:v>
                </c:pt>
                <c:pt idx="6">
                  <c:v>54.0858172102742</c:v>
                </c:pt>
                <c:pt idx="7">
                  <c:v>54.305891646756102</c:v>
                </c:pt>
                <c:pt idx="8">
                  <c:v>54.545048380309098</c:v>
                </c:pt>
                <c:pt idx="9">
                  <c:v>54.7596881567286</c:v>
                </c:pt>
                <c:pt idx="10">
                  <c:v>54.942526641055402</c:v>
                </c:pt>
                <c:pt idx="11">
                  <c:v>55.049406698422104</c:v>
                </c:pt>
                <c:pt idx="12">
                  <c:v>54.981568710383399</c:v>
                </c:pt>
                <c:pt idx="13">
                  <c:v>54.770969251821597</c:v>
                </c:pt>
                <c:pt idx="14">
                  <c:v>54.575525796805998</c:v>
                </c:pt>
                <c:pt idx="15">
                  <c:v>54.562078389314202</c:v>
                </c:pt>
                <c:pt idx="16">
                  <c:v>54.798767881632003</c:v>
                </c:pt>
                <c:pt idx="17">
                  <c:v>55.263700228576397</c:v>
                </c:pt>
                <c:pt idx="18">
                  <c:v>55.944986141085302</c:v>
                </c:pt>
                <c:pt idx="19">
                  <c:v>56.701853766072801</c:v>
                </c:pt>
                <c:pt idx="20">
                  <c:v>57.2653930190815</c:v>
                </c:pt>
                <c:pt idx="21">
                  <c:v>57.440777635978002</c:v>
                </c:pt>
                <c:pt idx="22">
                  <c:v>57.122216804615</c:v>
                </c:pt>
                <c:pt idx="23">
                  <c:v>56.387450989086702</c:v>
                </c:pt>
                <c:pt idx="24">
                  <c:v>55.4472919142069</c:v>
                </c:pt>
                <c:pt idx="25">
                  <c:v>54.562973757855502</c:v>
                </c:pt>
                <c:pt idx="26">
                  <c:v>53.8566909292094</c:v>
                </c:pt>
                <c:pt idx="27">
                  <c:v>53.345945380657</c:v>
                </c:pt>
                <c:pt idx="28">
                  <c:v>53.0046249543241</c:v>
                </c:pt>
                <c:pt idx="29">
                  <c:v>52.810263249740999</c:v>
                </c:pt>
                <c:pt idx="30">
                  <c:v>52.6070943474556</c:v>
                </c:pt>
                <c:pt idx="31">
                  <c:v>52.3172497406877</c:v>
                </c:pt>
                <c:pt idx="32">
                  <c:v>52.012631363194203</c:v>
                </c:pt>
                <c:pt idx="33">
                  <c:v>51.829106249823496</c:v>
                </c:pt>
                <c:pt idx="34">
                  <c:v>51.8384203258464</c:v>
                </c:pt>
                <c:pt idx="35">
                  <c:v>52.082574932982197</c:v>
                </c:pt>
                <c:pt idx="36">
                  <c:v>52.4860623362908</c:v>
                </c:pt>
                <c:pt idx="37">
                  <c:v>52.875253579124497</c:v>
                </c:pt>
                <c:pt idx="38">
                  <c:v>53.162550608288697</c:v>
                </c:pt>
                <c:pt idx="39">
                  <c:v>53.325956611078603</c:v>
                </c:pt>
                <c:pt idx="40">
                  <c:v>53.250479520418999</c:v>
                </c:pt>
                <c:pt idx="41">
                  <c:v>52.899791867963003</c:v>
                </c:pt>
                <c:pt idx="42">
                  <c:v>52.379663651178603</c:v>
                </c:pt>
                <c:pt idx="43">
                  <c:v>51.859416918562999</c:v>
                </c:pt>
                <c:pt idx="44">
                  <c:v>51.440572936051403</c:v>
                </c:pt>
                <c:pt idx="45">
                  <c:v>51.168996640664801</c:v>
                </c:pt>
                <c:pt idx="46">
                  <c:v>51.071163077729402</c:v>
                </c:pt>
                <c:pt idx="47">
                  <c:v>51.127187245065699</c:v>
                </c:pt>
                <c:pt idx="48">
                  <c:v>51.3235673379533</c:v>
                </c:pt>
                <c:pt idx="49">
                  <c:v>51.592972270406499</c:v>
                </c:pt>
              </c:numCache>
            </c:numRef>
          </c:val>
          <c:smooth val="0"/>
          <c:extLst>
            <c:ext xmlns:c16="http://schemas.microsoft.com/office/drawing/2014/chart" uri="{C3380CC4-5D6E-409C-BE32-E72D297353CC}">
              <c16:uniqueId val="{00000001-E291-45AB-A2F5-6A31E41DEEF9}"/>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62"/>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Datos!$A$197:$B$246</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Datos!$K$197:$K$256</c:f>
              <c:numCache>
                <c:formatCode>0.0_)</c:formatCode>
                <c:ptCount val="50"/>
                <c:pt idx="0">
                  <c:v>50.2722979193315</c:v>
                </c:pt>
                <c:pt idx="1">
                  <c:v>50.261945535984999</c:v>
                </c:pt>
                <c:pt idx="2">
                  <c:v>49.593433557940998</c:v>
                </c:pt>
                <c:pt idx="3">
                  <c:v>46.0295007754465</c:v>
                </c:pt>
                <c:pt idx="4">
                  <c:v>43.908143124105699</c:v>
                </c:pt>
                <c:pt idx="5">
                  <c:v>46.085821636466299</c:v>
                </c:pt>
                <c:pt idx="6">
                  <c:v>49.296092730161597</c:v>
                </c:pt>
                <c:pt idx="7">
                  <c:v>50.249683670753697</c:v>
                </c:pt>
                <c:pt idx="8">
                  <c:v>50.1116385020133</c:v>
                </c:pt>
                <c:pt idx="9">
                  <c:v>50.942749351564203</c:v>
                </c:pt>
                <c:pt idx="10">
                  <c:v>50.881206440509501</c:v>
                </c:pt>
                <c:pt idx="11">
                  <c:v>51.717093764786</c:v>
                </c:pt>
                <c:pt idx="12">
                  <c:v>51.363284655681802</c:v>
                </c:pt>
                <c:pt idx="13">
                  <c:v>50.372999718227597</c:v>
                </c:pt>
                <c:pt idx="14">
                  <c:v>50.818375454923</c:v>
                </c:pt>
                <c:pt idx="15">
                  <c:v>50.761083123773702</c:v>
                </c:pt>
                <c:pt idx="16">
                  <c:v>51.6039934777653</c:v>
                </c:pt>
                <c:pt idx="17">
                  <c:v>52.093763884587403</c:v>
                </c:pt>
                <c:pt idx="18">
                  <c:v>52.160742102322502</c:v>
                </c:pt>
                <c:pt idx="19">
                  <c:v>51.3968425220217</c:v>
                </c:pt>
                <c:pt idx="20">
                  <c:v>51.586083202691299</c:v>
                </c:pt>
                <c:pt idx="21">
                  <c:v>50.746734630735098</c:v>
                </c:pt>
                <c:pt idx="22">
                  <c:v>51.542315924969699</c:v>
                </c:pt>
                <c:pt idx="23">
                  <c:v>51.450330527564603</c:v>
                </c:pt>
                <c:pt idx="24">
                  <c:v>50.9319250446868</c:v>
                </c:pt>
                <c:pt idx="25">
                  <c:v>52.098603644199699</c:v>
                </c:pt>
                <c:pt idx="26">
                  <c:v>51.579787986199797</c:v>
                </c:pt>
                <c:pt idx="27">
                  <c:v>51.410797358474397</c:v>
                </c:pt>
                <c:pt idx="28">
                  <c:v>51.3057467126986</c:v>
                </c:pt>
                <c:pt idx="29">
                  <c:v>50.7455287458477</c:v>
                </c:pt>
                <c:pt idx="30">
                  <c:v>51.036892740766902</c:v>
                </c:pt>
                <c:pt idx="31">
                  <c:v>51.315744639883803</c:v>
                </c:pt>
                <c:pt idx="32">
                  <c:v>51.192097400938302</c:v>
                </c:pt>
                <c:pt idx="33">
                  <c:v>51.409038608466503</c:v>
                </c:pt>
                <c:pt idx="34">
                  <c:v>51.150174060004503</c:v>
                </c:pt>
                <c:pt idx="35">
                  <c:v>51.346549998059402</c:v>
                </c:pt>
                <c:pt idx="36">
                  <c:v>51.477409186913299</c:v>
                </c:pt>
                <c:pt idx="37">
                  <c:v>51.066653088745703</c:v>
                </c:pt>
                <c:pt idx="38">
                  <c:v>51.459448604862601</c:v>
                </c:pt>
                <c:pt idx="39">
                  <c:v>51.355383103629002</c:v>
                </c:pt>
                <c:pt idx="40">
                  <c:v>50.913535541765398</c:v>
                </c:pt>
                <c:pt idx="41">
                  <c:v>51.193151831477998</c:v>
                </c:pt>
                <c:pt idx="42">
                  <c:v>50.991855076948198</c:v>
                </c:pt>
                <c:pt idx="43">
                  <c:v>50.984583229828097</c:v>
                </c:pt>
                <c:pt idx="44">
                  <c:v>50.668548072729699</c:v>
                </c:pt>
                <c:pt idx="45">
                  <c:v>50.111926675449403</c:v>
                </c:pt>
                <c:pt idx="46">
                  <c:v>50.3273120898969</c:v>
                </c:pt>
                <c:pt idx="47">
                  <c:v>49.579612637661597</c:v>
                </c:pt>
                <c:pt idx="48">
                  <c:v>49.835816211885202</c:v>
                </c:pt>
                <c:pt idx="49">
                  <c:v>50.806785584502599</c:v>
                </c:pt>
              </c:numCache>
            </c:numRef>
          </c:val>
          <c:smooth val="0"/>
          <c:extLst>
            <c:ext xmlns:c16="http://schemas.microsoft.com/office/drawing/2014/chart" uri="{C3380CC4-5D6E-409C-BE32-E72D297353CC}">
              <c16:uniqueId val="{00000000-2898-40A6-A815-35ACD9CD9E0C}"/>
            </c:ext>
          </c:extLst>
        </c:ser>
        <c:ser>
          <c:idx val="1"/>
          <c:order val="1"/>
          <c:tx>
            <c:strRef>
              <c:f>Datos!$L$4</c:f>
              <c:strCache>
                <c:ptCount val="1"/>
                <c:pt idx="0">
                  <c:v>Serie de tendencia-ciclo</c:v>
                </c:pt>
              </c:strCache>
            </c:strRef>
          </c:tx>
          <c:spPr>
            <a:ln w="12700">
              <a:solidFill>
                <a:schemeClr val="tx1"/>
              </a:solidFill>
            </a:ln>
          </c:spPr>
          <c:marker>
            <c:symbol val="none"/>
          </c:marker>
          <c:cat>
            <c:multiLvlStrRef>
              <c:f>Datos!$A$197:$B$246</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Datos!$L$197:$L$256</c:f>
              <c:numCache>
                <c:formatCode>0.0_)</c:formatCode>
                <c:ptCount val="50"/>
                <c:pt idx="0">
                  <c:v>50.2138493254621</c:v>
                </c:pt>
                <c:pt idx="1">
                  <c:v>50.019949059745699</c:v>
                </c:pt>
                <c:pt idx="2">
                  <c:v>49.810088552652402</c:v>
                </c:pt>
                <c:pt idx="3">
                  <c:v>49.619437343672701</c:v>
                </c:pt>
                <c:pt idx="4">
                  <c:v>49.507300167480501</c:v>
                </c:pt>
                <c:pt idx="5">
                  <c:v>49.517979299670301</c:v>
                </c:pt>
                <c:pt idx="6">
                  <c:v>49.672316343892199</c:v>
                </c:pt>
                <c:pt idx="7">
                  <c:v>49.961606342579401</c:v>
                </c:pt>
                <c:pt idx="8">
                  <c:v>50.322395089922701</c:v>
                </c:pt>
                <c:pt idx="9">
                  <c:v>50.667368705001302</c:v>
                </c:pt>
                <c:pt idx="10">
                  <c:v>50.914793273552803</c:v>
                </c:pt>
                <c:pt idx="11">
                  <c:v>51.017689614513202</c:v>
                </c:pt>
                <c:pt idx="12">
                  <c:v>51.020157470906298</c:v>
                </c:pt>
                <c:pt idx="13">
                  <c:v>51.028159631417203</c:v>
                </c:pt>
                <c:pt idx="14">
                  <c:v>51.113599562295299</c:v>
                </c:pt>
                <c:pt idx="15">
                  <c:v>51.285368419027698</c:v>
                </c:pt>
                <c:pt idx="16">
                  <c:v>51.501382832837997</c:v>
                </c:pt>
                <c:pt idx="17">
                  <c:v>51.678204510427598</c:v>
                </c:pt>
                <c:pt idx="18">
                  <c:v>51.766748978026897</c:v>
                </c:pt>
                <c:pt idx="19">
                  <c:v>51.728651299717498</c:v>
                </c:pt>
                <c:pt idx="20">
                  <c:v>51.596289199427702</c:v>
                </c:pt>
                <c:pt idx="21">
                  <c:v>51.460017233772298</c:v>
                </c:pt>
                <c:pt idx="22">
                  <c:v>51.387422609413001</c:v>
                </c:pt>
                <c:pt idx="23">
                  <c:v>51.404181153714603</c:v>
                </c:pt>
                <c:pt idx="24">
                  <c:v>51.456519071248202</c:v>
                </c:pt>
                <c:pt idx="25">
                  <c:v>51.472627666555702</c:v>
                </c:pt>
                <c:pt idx="26">
                  <c:v>51.426571016323003</c:v>
                </c:pt>
                <c:pt idx="27">
                  <c:v>51.334592478565803</c:v>
                </c:pt>
                <c:pt idx="28">
                  <c:v>51.228377739477203</c:v>
                </c:pt>
                <c:pt idx="29">
                  <c:v>51.147266339832903</c:v>
                </c:pt>
                <c:pt idx="30">
                  <c:v>51.107888443669601</c:v>
                </c:pt>
                <c:pt idx="31">
                  <c:v>51.132800298624304</c:v>
                </c:pt>
                <c:pt idx="32">
                  <c:v>51.201645312184802</c:v>
                </c:pt>
                <c:pt idx="33">
                  <c:v>51.266683270974397</c:v>
                </c:pt>
                <c:pt idx="34">
                  <c:v>51.314645964610598</c:v>
                </c:pt>
                <c:pt idx="35">
                  <c:v>51.333040915349201</c:v>
                </c:pt>
                <c:pt idx="36">
                  <c:v>51.328329265517297</c:v>
                </c:pt>
                <c:pt idx="37">
                  <c:v>51.313473563677903</c:v>
                </c:pt>
                <c:pt idx="38">
                  <c:v>51.2854347751883</c:v>
                </c:pt>
                <c:pt idx="39">
                  <c:v>51.248593700530002</c:v>
                </c:pt>
                <c:pt idx="40">
                  <c:v>51.191872323873298</c:v>
                </c:pt>
                <c:pt idx="41">
                  <c:v>51.106901300924797</c:v>
                </c:pt>
                <c:pt idx="42">
                  <c:v>50.985082678807302</c:v>
                </c:pt>
                <c:pt idx="43">
                  <c:v>50.806327631824701</c:v>
                </c:pt>
                <c:pt idx="44">
                  <c:v>50.580418571768703</c:v>
                </c:pt>
                <c:pt idx="45">
                  <c:v>50.3419702045055</c:v>
                </c:pt>
                <c:pt idx="46">
                  <c:v>50.134962094708499</c:v>
                </c:pt>
                <c:pt idx="47">
                  <c:v>50.015752927606897</c:v>
                </c:pt>
                <c:pt idx="48">
                  <c:v>50.0053657676604</c:v>
                </c:pt>
                <c:pt idx="49">
                  <c:v>50.0695583456272</c:v>
                </c:pt>
              </c:numCache>
            </c:numRef>
          </c:val>
          <c:smooth val="0"/>
          <c:extLst>
            <c:ext xmlns:c16="http://schemas.microsoft.com/office/drawing/2014/chart" uri="{C3380CC4-5D6E-409C-BE32-E72D297353CC}">
              <c16:uniqueId val="{00000001-2898-40A6-A815-35ACD9CD9E0C}"/>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Datos!$A$197:$B$246</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Datos!$M$197:$M$256</c:f>
              <c:numCache>
                <c:formatCode>0.0_)</c:formatCode>
                <c:ptCount val="50"/>
                <c:pt idx="0">
                  <c:v>47.414467335586998</c:v>
                </c:pt>
                <c:pt idx="1">
                  <c:v>47.557481549490397</c:v>
                </c:pt>
                <c:pt idx="2">
                  <c:v>48.411405021791403</c:v>
                </c:pt>
                <c:pt idx="3">
                  <c:v>51.541362199145503</c:v>
                </c:pt>
                <c:pt idx="4">
                  <c:v>50.893409305854199</c:v>
                </c:pt>
                <c:pt idx="5">
                  <c:v>46.782512200316198</c:v>
                </c:pt>
                <c:pt idx="6">
                  <c:v>48.569985537002502</c:v>
                </c:pt>
                <c:pt idx="7">
                  <c:v>47.663312134374898</c:v>
                </c:pt>
                <c:pt idx="8">
                  <c:v>48.367965248605202</c:v>
                </c:pt>
                <c:pt idx="9">
                  <c:v>47.686364140487797</c:v>
                </c:pt>
                <c:pt idx="10">
                  <c:v>47.030334308071403</c:v>
                </c:pt>
                <c:pt idx="11">
                  <c:v>47.639071556939797</c:v>
                </c:pt>
                <c:pt idx="12">
                  <c:v>47.2735966896444</c:v>
                </c:pt>
                <c:pt idx="13">
                  <c:v>47.381874519535103</c:v>
                </c:pt>
                <c:pt idx="14">
                  <c:v>46.845047073075399</c:v>
                </c:pt>
                <c:pt idx="15">
                  <c:v>47.322677616481002</c:v>
                </c:pt>
                <c:pt idx="16">
                  <c:v>47.828908727192697</c:v>
                </c:pt>
                <c:pt idx="17">
                  <c:v>48.128288874562102</c:v>
                </c:pt>
                <c:pt idx="18">
                  <c:v>47.631009008238401</c:v>
                </c:pt>
                <c:pt idx="19">
                  <c:v>48.749352869174302</c:v>
                </c:pt>
                <c:pt idx="20">
                  <c:v>51.224940506832397</c:v>
                </c:pt>
                <c:pt idx="21">
                  <c:v>52.438259717495903</c:v>
                </c:pt>
                <c:pt idx="22">
                  <c:v>49.006785360271301</c:v>
                </c:pt>
                <c:pt idx="23">
                  <c:v>48.184585476871199</c:v>
                </c:pt>
                <c:pt idx="24">
                  <c:v>49.208187754429602</c:v>
                </c:pt>
                <c:pt idx="25">
                  <c:v>49.039544672852699</c:v>
                </c:pt>
                <c:pt idx="26">
                  <c:v>50.381555753281397</c:v>
                </c:pt>
                <c:pt idx="27">
                  <c:v>49.934132605215403</c:v>
                </c:pt>
                <c:pt idx="28">
                  <c:v>50.146366353704003</c:v>
                </c:pt>
                <c:pt idx="29">
                  <c:v>48.960866036736903</c:v>
                </c:pt>
                <c:pt idx="30">
                  <c:v>50.143432003348799</c:v>
                </c:pt>
                <c:pt idx="31">
                  <c:v>48.9010446659899</c:v>
                </c:pt>
                <c:pt idx="32">
                  <c:v>48.9633483213739</c:v>
                </c:pt>
                <c:pt idx="33">
                  <c:v>50.734521769171899</c:v>
                </c:pt>
                <c:pt idx="34">
                  <c:v>49.720173538798697</c:v>
                </c:pt>
                <c:pt idx="35">
                  <c:v>49.594417173046303</c:v>
                </c:pt>
                <c:pt idx="36">
                  <c:v>48.340802025593597</c:v>
                </c:pt>
                <c:pt idx="37">
                  <c:v>48.371228865923698</c:v>
                </c:pt>
                <c:pt idx="38">
                  <c:v>48.136688773089503</c:v>
                </c:pt>
                <c:pt idx="39">
                  <c:v>46.004971504053202</c:v>
                </c:pt>
                <c:pt idx="40">
                  <c:v>48.192791995966601</c:v>
                </c:pt>
                <c:pt idx="41">
                  <c:v>48.305659511618799</c:v>
                </c:pt>
                <c:pt idx="42">
                  <c:v>48.207132605724198</c:v>
                </c:pt>
                <c:pt idx="43">
                  <c:v>48.350372331232101</c:v>
                </c:pt>
                <c:pt idx="44">
                  <c:v>48.250438690481097</c:v>
                </c:pt>
                <c:pt idx="45">
                  <c:v>48.101857212079402</c:v>
                </c:pt>
                <c:pt idx="46">
                  <c:v>48.095660318045297</c:v>
                </c:pt>
                <c:pt idx="47">
                  <c:v>48.393669361516899</c:v>
                </c:pt>
                <c:pt idx="48">
                  <c:v>48.728744047513402</c:v>
                </c:pt>
                <c:pt idx="49">
                  <c:v>49.0663052936955</c:v>
                </c:pt>
              </c:numCache>
            </c:numRef>
          </c:val>
          <c:smooth val="0"/>
          <c:extLst>
            <c:ext xmlns:c16="http://schemas.microsoft.com/office/drawing/2014/chart" uri="{C3380CC4-5D6E-409C-BE32-E72D297353CC}">
              <c16:uniqueId val="{00000000-C6E5-4976-87AB-DD570DAA4DE4}"/>
            </c:ext>
          </c:extLst>
        </c:ser>
        <c:ser>
          <c:idx val="1"/>
          <c:order val="1"/>
          <c:tx>
            <c:strRef>
              <c:f>Datos!$N$4</c:f>
              <c:strCache>
                <c:ptCount val="1"/>
                <c:pt idx="0">
                  <c:v>Serie de tendencia-ciclo</c:v>
                </c:pt>
              </c:strCache>
            </c:strRef>
          </c:tx>
          <c:spPr>
            <a:ln w="12700">
              <a:solidFill>
                <a:schemeClr val="tx1"/>
              </a:solidFill>
            </a:ln>
          </c:spPr>
          <c:marker>
            <c:symbol val="none"/>
          </c:marker>
          <c:cat>
            <c:multiLvlStrRef>
              <c:f>Datos!$A$197:$B$246</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Datos!$N$197:$N$256</c:f>
              <c:numCache>
                <c:formatCode>0.0_)</c:formatCode>
                <c:ptCount val="50"/>
                <c:pt idx="0">
                  <c:v>47.401232381938101</c:v>
                </c:pt>
                <c:pt idx="1">
                  <c:v>47.502022398653097</c:v>
                </c:pt>
                <c:pt idx="2">
                  <c:v>47.598163562210601</c:v>
                </c:pt>
                <c:pt idx="3">
                  <c:v>47.6837203451798</c:v>
                </c:pt>
                <c:pt idx="4">
                  <c:v>47.749162839270603</c:v>
                </c:pt>
                <c:pt idx="5">
                  <c:v>47.784279784541901</c:v>
                </c:pt>
                <c:pt idx="6">
                  <c:v>47.7808274927581</c:v>
                </c:pt>
                <c:pt idx="7">
                  <c:v>47.744826038890302</c:v>
                </c:pt>
                <c:pt idx="8">
                  <c:v>47.681040021265197</c:v>
                </c:pt>
                <c:pt idx="9">
                  <c:v>47.599541779457702</c:v>
                </c:pt>
                <c:pt idx="10">
                  <c:v>47.513509881035397</c:v>
                </c:pt>
                <c:pt idx="11">
                  <c:v>47.437714182783097</c:v>
                </c:pt>
                <c:pt idx="12">
                  <c:v>47.392480567744798</c:v>
                </c:pt>
                <c:pt idx="13">
                  <c:v>47.386882848424001</c:v>
                </c:pt>
                <c:pt idx="14">
                  <c:v>47.428616865729701</c:v>
                </c:pt>
                <c:pt idx="15">
                  <c:v>47.516587497826002</c:v>
                </c:pt>
                <c:pt idx="16">
                  <c:v>47.649253652405903</c:v>
                </c:pt>
                <c:pt idx="17">
                  <c:v>47.818579130015799</c:v>
                </c:pt>
                <c:pt idx="18">
                  <c:v>48.014930673814597</c:v>
                </c:pt>
                <c:pt idx="19">
                  <c:v>48.224822105641998</c:v>
                </c:pt>
                <c:pt idx="20">
                  <c:v>48.443960791377002</c:v>
                </c:pt>
                <c:pt idx="21">
                  <c:v>48.6668270769092</c:v>
                </c:pt>
                <c:pt idx="22">
                  <c:v>48.888149300535403</c:v>
                </c:pt>
                <c:pt idx="23">
                  <c:v>49.096164198650399</c:v>
                </c:pt>
                <c:pt idx="24">
                  <c:v>49.278640843964297</c:v>
                </c:pt>
                <c:pt idx="25">
                  <c:v>49.434450326775597</c:v>
                </c:pt>
                <c:pt idx="26">
                  <c:v>49.561749730612398</c:v>
                </c:pt>
                <c:pt idx="27">
                  <c:v>49.657496119255498</c:v>
                </c:pt>
                <c:pt idx="28">
                  <c:v>49.713424664654198</c:v>
                </c:pt>
                <c:pt idx="29">
                  <c:v>49.722652610517201</c:v>
                </c:pt>
                <c:pt idx="30">
                  <c:v>49.681885827721999</c:v>
                </c:pt>
                <c:pt idx="31">
                  <c:v>49.592374132169702</c:v>
                </c:pt>
                <c:pt idx="32">
                  <c:v>49.457044823495103</c:v>
                </c:pt>
                <c:pt idx="33">
                  <c:v>49.288668705098402</c:v>
                </c:pt>
                <c:pt idx="34">
                  <c:v>49.101630293982403</c:v>
                </c:pt>
                <c:pt idx="35">
                  <c:v>48.913541605620402</c:v>
                </c:pt>
                <c:pt idx="36">
                  <c:v>48.7372490258768</c:v>
                </c:pt>
                <c:pt idx="37">
                  <c:v>48.576693588472999</c:v>
                </c:pt>
                <c:pt idx="38">
                  <c:v>48.4340521614441</c:v>
                </c:pt>
                <c:pt idx="39">
                  <c:v>48.312795221592097</c:v>
                </c:pt>
                <c:pt idx="40">
                  <c:v>48.222517941675299</c:v>
                </c:pt>
                <c:pt idx="41">
                  <c:v>48.171432329290603</c:v>
                </c:pt>
                <c:pt idx="42">
                  <c:v>48.163179196233202</c:v>
                </c:pt>
                <c:pt idx="43">
                  <c:v>48.194343082199303</c:v>
                </c:pt>
                <c:pt idx="44">
                  <c:v>48.256249261141498</c:v>
                </c:pt>
                <c:pt idx="45">
                  <c:v>48.330016313104601</c:v>
                </c:pt>
                <c:pt idx="46">
                  <c:v>48.397097609700303</c:v>
                </c:pt>
                <c:pt idx="47">
                  <c:v>48.448401805430699</c:v>
                </c:pt>
                <c:pt idx="48">
                  <c:v>48.4813124263896</c:v>
                </c:pt>
                <c:pt idx="49">
                  <c:v>48.494853887677898</c:v>
                </c:pt>
              </c:numCache>
            </c:numRef>
          </c:val>
          <c:smooth val="0"/>
          <c:extLst>
            <c:ext xmlns:c16="http://schemas.microsoft.com/office/drawing/2014/chart" uri="{C3380CC4-5D6E-409C-BE32-E72D297353CC}">
              <c16:uniqueId val="{00000001-C6E5-4976-87AB-DD570DAA4DE4}"/>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3"/>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3"/>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Datos!$O$4</c:f>
              <c:strCache>
                <c:ptCount val="1"/>
                <c:pt idx="0">
                  <c:v>Serie desestacionalizada</c:v>
                </c:pt>
              </c:strCache>
            </c:strRef>
          </c:tx>
          <c:spPr>
            <a:ln w="12700">
              <a:solidFill>
                <a:srgbClr val="034DF3"/>
              </a:solidFill>
            </a:ln>
          </c:spPr>
          <c:marker>
            <c:symbol val="none"/>
          </c:marker>
          <c:cat>
            <c:multiLvlStrRef>
              <c:f>Datos!$A$197:$B$246</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Datos!$O$197:$O$256</c:f>
              <c:numCache>
                <c:formatCode>0.0_)</c:formatCode>
                <c:ptCount val="50"/>
                <c:pt idx="0">
                  <c:v>51.023111671815499</c:v>
                </c:pt>
                <c:pt idx="1">
                  <c:v>51.088326780998798</c:v>
                </c:pt>
                <c:pt idx="2">
                  <c:v>50.2684590254838</c:v>
                </c:pt>
                <c:pt idx="3">
                  <c:v>46.525193144750197</c:v>
                </c:pt>
                <c:pt idx="4">
                  <c:v>44.665894898225801</c:v>
                </c:pt>
                <c:pt idx="5">
                  <c:v>51.726340903093302</c:v>
                </c:pt>
                <c:pt idx="6">
                  <c:v>52.596758721618897</c:v>
                </c:pt>
                <c:pt idx="7">
                  <c:v>52.795040788997497</c:v>
                </c:pt>
                <c:pt idx="8">
                  <c:v>52.911713818049698</c:v>
                </c:pt>
                <c:pt idx="9">
                  <c:v>53.163308885252199</c:v>
                </c:pt>
                <c:pt idx="10">
                  <c:v>52.772971540628099</c:v>
                </c:pt>
                <c:pt idx="11">
                  <c:v>54.460524651193197</c:v>
                </c:pt>
                <c:pt idx="12">
                  <c:v>54.803829440762797</c:v>
                </c:pt>
                <c:pt idx="13">
                  <c:v>52.984276665088899</c:v>
                </c:pt>
                <c:pt idx="14">
                  <c:v>53.930425072544601</c:v>
                </c:pt>
                <c:pt idx="15">
                  <c:v>54.203839370448897</c:v>
                </c:pt>
                <c:pt idx="16">
                  <c:v>52.939515174009998</c:v>
                </c:pt>
                <c:pt idx="17">
                  <c:v>55.169240728962102</c:v>
                </c:pt>
                <c:pt idx="18">
                  <c:v>54.872691020063101</c:v>
                </c:pt>
                <c:pt idx="19">
                  <c:v>54.887324475893003</c:v>
                </c:pt>
                <c:pt idx="20">
                  <c:v>55.800964386622297</c:v>
                </c:pt>
                <c:pt idx="21">
                  <c:v>54.9933352901378</c:v>
                </c:pt>
                <c:pt idx="22">
                  <c:v>55.762476924887999</c:v>
                </c:pt>
                <c:pt idx="23">
                  <c:v>52.396253113577004</c:v>
                </c:pt>
                <c:pt idx="24">
                  <c:v>52.769045565846596</c:v>
                </c:pt>
                <c:pt idx="25">
                  <c:v>51.383307175694199</c:v>
                </c:pt>
                <c:pt idx="26">
                  <c:v>51.967175549423999</c:v>
                </c:pt>
                <c:pt idx="27">
                  <c:v>50.316376062251003</c:v>
                </c:pt>
                <c:pt idx="28">
                  <c:v>52.269278567255</c:v>
                </c:pt>
                <c:pt idx="29">
                  <c:v>49.310787387098401</c:v>
                </c:pt>
                <c:pt idx="30">
                  <c:v>51.959487605354298</c:v>
                </c:pt>
                <c:pt idx="31">
                  <c:v>51.011372559359899</c:v>
                </c:pt>
                <c:pt idx="32">
                  <c:v>51.927323018936001</c:v>
                </c:pt>
                <c:pt idx="33">
                  <c:v>52.906821468847397</c:v>
                </c:pt>
                <c:pt idx="34">
                  <c:v>48.7883148490371</c:v>
                </c:pt>
                <c:pt idx="35">
                  <c:v>52.840221740810598</c:v>
                </c:pt>
                <c:pt idx="36">
                  <c:v>53.5470865298294</c:v>
                </c:pt>
                <c:pt idx="37">
                  <c:v>53.089690782305901</c:v>
                </c:pt>
                <c:pt idx="38">
                  <c:v>54.8152411726563</c:v>
                </c:pt>
                <c:pt idx="39">
                  <c:v>54.0298108461892</c:v>
                </c:pt>
                <c:pt idx="40">
                  <c:v>52.736111172216397</c:v>
                </c:pt>
                <c:pt idx="41">
                  <c:v>53.995414847668798</c:v>
                </c:pt>
                <c:pt idx="42">
                  <c:v>47.397394606232403</c:v>
                </c:pt>
                <c:pt idx="43">
                  <c:v>53.806384724700102</c:v>
                </c:pt>
                <c:pt idx="44">
                  <c:v>46.134365377920098</c:v>
                </c:pt>
                <c:pt idx="45">
                  <c:v>46.442071813365203</c:v>
                </c:pt>
                <c:pt idx="46">
                  <c:v>51.383096392957498</c:v>
                </c:pt>
                <c:pt idx="47">
                  <c:v>51.852884820084498</c:v>
                </c:pt>
                <c:pt idx="48">
                  <c:v>48.711785864205503</c:v>
                </c:pt>
                <c:pt idx="49">
                  <c:v>50.08568294634</c:v>
                </c:pt>
              </c:numCache>
            </c:numRef>
          </c:val>
          <c:smooth val="0"/>
          <c:extLst>
            <c:ext xmlns:c16="http://schemas.microsoft.com/office/drawing/2014/chart" uri="{C3380CC4-5D6E-409C-BE32-E72D297353CC}">
              <c16:uniqueId val="{00000000-A55D-42A7-812B-8F4C0F075039}"/>
            </c:ext>
          </c:extLst>
        </c:ser>
        <c:ser>
          <c:idx val="1"/>
          <c:order val="1"/>
          <c:tx>
            <c:strRef>
              <c:f>Datos!$P$4</c:f>
              <c:strCache>
                <c:ptCount val="1"/>
                <c:pt idx="0">
                  <c:v>Serie de tendencia-ciclo</c:v>
                </c:pt>
              </c:strCache>
            </c:strRef>
          </c:tx>
          <c:spPr>
            <a:ln w="12700">
              <a:solidFill>
                <a:schemeClr val="tx1"/>
              </a:solidFill>
            </a:ln>
          </c:spPr>
          <c:marker>
            <c:symbol val="none"/>
          </c:marker>
          <c:cat>
            <c:multiLvlStrRef>
              <c:f>Datos!$A$197:$B$246</c:f>
              <c:multiLvlStrCache>
                <c:ptCount val="50"/>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8">
                    <c:v>E</c:v>
                  </c:pt>
                  <c:pt idx="49">
                    <c:v>F</c:v>
                  </c:pt>
                </c:lvl>
                <c:lvl>
                  <c:pt idx="0">
                    <c:v>2020</c:v>
                  </c:pt>
                  <c:pt idx="12">
                    <c:v>2021</c:v>
                  </c:pt>
                  <c:pt idx="24">
                    <c:v>2022</c:v>
                  </c:pt>
                  <c:pt idx="36">
                    <c:v>2023</c:v>
                  </c:pt>
                  <c:pt idx="48">
                    <c:v>2024</c:v>
                  </c:pt>
                </c:lvl>
              </c:multiLvlStrCache>
            </c:multiLvlStrRef>
          </c:cat>
          <c:val>
            <c:numRef>
              <c:f>Datos!$P$197:$P$256</c:f>
              <c:numCache>
                <c:formatCode>0.0_)</c:formatCode>
                <c:ptCount val="50"/>
                <c:pt idx="0">
                  <c:v>51.584088241875797</c:v>
                </c:pt>
                <c:pt idx="1">
                  <c:v>51.169159386940102</c:v>
                </c:pt>
                <c:pt idx="2">
                  <c:v>51.0247423759835</c:v>
                </c:pt>
                <c:pt idx="3">
                  <c:v>51.151977868588403</c:v>
                </c:pt>
                <c:pt idx="4">
                  <c:v>51.504772532041201</c:v>
                </c:pt>
                <c:pt idx="5">
                  <c:v>51.9339811538592</c:v>
                </c:pt>
                <c:pt idx="6">
                  <c:v>52.303176693939797</c:v>
                </c:pt>
                <c:pt idx="7">
                  <c:v>52.636998774237199</c:v>
                </c:pt>
                <c:pt idx="8">
                  <c:v>52.9616396374172</c:v>
                </c:pt>
                <c:pt idx="9">
                  <c:v>53.2645245648011</c:v>
                </c:pt>
                <c:pt idx="10">
                  <c:v>53.562515210077201</c:v>
                </c:pt>
                <c:pt idx="11">
                  <c:v>53.761068452595502</c:v>
                </c:pt>
                <c:pt idx="12">
                  <c:v>53.852717303298</c:v>
                </c:pt>
                <c:pt idx="13">
                  <c:v>53.873784587156699</c:v>
                </c:pt>
                <c:pt idx="14">
                  <c:v>53.862996822495496</c:v>
                </c:pt>
                <c:pt idx="15">
                  <c:v>53.920116808494598</c:v>
                </c:pt>
                <c:pt idx="16">
                  <c:v>54.098808418827197</c:v>
                </c:pt>
                <c:pt idx="17">
                  <c:v>54.465257533758702</c:v>
                </c:pt>
                <c:pt idx="18">
                  <c:v>54.919065947607699</c:v>
                </c:pt>
                <c:pt idx="19">
                  <c:v>55.257174169951597</c:v>
                </c:pt>
                <c:pt idx="20">
                  <c:v>55.303045838368497</c:v>
                </c:pt>
                <c:pt idx="21">
                  <c:v>55.026510235014499</c:v>
                </c:pt>
                <c:pt idx="22">
                  <c:v>54.386825442142801</c:v>
                </c:pt>
                <c:pt idx="23">
                  <c:v>53.5448596322463</c:v>
                </c:pt>
                <c:pt idx="24">
                  <c:v>52.681327951227402</c:v>
                </c:pt>
                <c:pt idx="25">
                  <c:v>51.9425164556325</c:v>
                </c:pt>
                <c:pt idx="26">
                  <c:v>51.446615095842603</c:v>
                </c:pt>
                <c:pt idx="27">
                  <c:v>51.192413742062001</c:v>
                </c:pt>
                <c:pt idx="28">
                  <c:v>51.1336476518102</c:v>
                </c:pt>
                <c:pt idx="29">
                  <c:v>51.214361320520403</c:v>
                </c:pt>
                <c:pt idx="30">
                  <c:v>51.366969831398997</c:v>
                </c:pt>
                <c:pt idx="31">
                  <c:v>51.628115775414301</c:v>
                </c:pt>
                <c:pt idx="32">
                  <c:v>51.923941895872098</c:v>
                </c:pt>
                <c:pt idx="33">
                  <c:v>52.259825827016002</c:v>
                </c:pt>
                <c:pt idx="34">
                  <c:v>52.648711977679</c:v>
                </c:pt>
                <c:pt idx="35">
                  <c:v>53.070131027823201</c:v>
                </c:pt>
                <c:pt idx="36">
                  <c:v>53.455594790848103</c:v>
                </c:pt>
                <c:pt idx="37">
                  <c:v>53.7683555276435</c:v>
                </c:pt>
                <c:pt idx="38">
                  <c:v>53.882026920504799</c:v>
                </c:pt>
                <c:pt idx="39">
                  <c:v>53.721100818608903</c:v>
                </c:pt>
                <c:pt idx="40">
                  <c:v>53.210458922054897</c:v>
                </c:pt>
                <c:pt idx="41">
                  <c:v>52.383746215810802</c:v>
                </c:pt>
                <c:pt idx="42">
                  <c:v>51.425511244993999</c:v>
                </c:pt>
                <c:pt idx="43">
                  <c:v>50.494642611542297</c:v>
                </c:pt>
                <c:pt idx="44">
                  <c:v>49.775653173092699</c:v>
                </c:pt>
                <c:pt idx="45">
                  <c:v>49.337533470152501</c:v>
                </c:pt>
                <c:pt idx="46">
                  <c:v>49.130430757965598</c:v>
                </c:pt>
                <c:pt idx="47">
                  <c:v>49.103059526173702</c:v>
                </c:pt>
                <c:pt idx="48">
                  <c:v>49.169896884009198</c:v>
                </c:pt>
                <c:pt idx="49">
                  <c:v>49.206449547325498</c:v>
                </c:pt>
              </c:numCache>
            </c:numRef>
          </c:val>
          <c:smooth val="0"/>
          <c:extLst>
            <c:ext xmlns:c16="http://schemas.microsoft.com/office/drawing/2014/chart" uri="{C3380CC4-5D6E-409C-BE32-E72D297353CC}">
              <c16:uniqueId val="{00000001-A55D-42A7-812B-8F4C0F075039}"/>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8"/>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AA7A-4519-884B-BF6588EF9015}"/>
              </c:ext>
            </c:extLst>
          </c:dPt>
          <c:dPt>
            <c:idx val="1"/>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2-AA7A-4519-884B-BF6588EF9015}"/>
              </c:ext>
            </c:extLst>
          </c:dPt>
          <c:dPt>
            <c:idx val="2"/>
            <c:invertIfNegative val="0"/>
            <c:bubble3D val="0"/>
            <c:extLst>
              <c:ext xmlns:c16="http://schemas.microsoft.com/office/drawing/2014/chart" uri="{C3380CC4-5D6E-409C-BE32-E72D297353CC}">
                <c16:uniqueId val="{00000003-AA7A-4519-884B-BF6588EF9015}"/>
              </c:ext>
            </c:extLst>
          </c:dPt>
          <c:dPt>
            <c:idx val="3"/>
            <c:invertIfNegative val="0"/>
            <c:bubble3D val="0"/>
            <c:extLst>
              <c:ext xmlns:c16="http://schemas.microsoft.com/office/drawing/2014/chart" uri="{C3380CC4-5D6E-409C-BE32-E72D297353CC}">
                <c16:uniqueId val="{00000004-AA7A-4519-884B-BF6588EF9015}"/>
              </c:ext>
            </c:extLst>
          </c:dPt>
          <c:dPt>
            <c:idx val="4"/>
            <c:invertIfNegative val="0"/>
            <c:bubble3D val="0"/>
            <c:extLst>
              <c:ext xmlns:c16="http://schemas.microsoft.com/office/drawing/2014/chart" uri="{C3380CC4-5D6E-409C-BE32-E72D297353CC}">
                <c16:uniqueId val="{00000005-AA7A-4519-884B-BF6588EF9015}"/>
              </c:ext>
            </c:extLst>
          </c:dPt>
          <c:dPt>
            <c:idx val="5"/>
            <c:invertIfNegative val="0"/>
            <c:bubble3D val="0"/>
            <c:extLst>
              <c:ext xmlns:c16="http://schemas.microsoft.com/office/drawing/2014/chart" uri="{C3380CC4-5D6E-409C-BE32-E72D297353CC}">
                <c16:uniqueId val="{00000006-AA7A-4519-884B-BF6588EF9015}"/>
              </c:ext>
            </c:extLst>
          </c:dPt>
          <c:dPt>
            <c:idx val="6"/>
            <c:invertIfNegative val="0"/>
            <c:bubble3D val="0"/>
            <c:extLst>
              <c:ext xmlns:c16="http://schemas.microsoft.com/office/drawing/2014/chart" uri="{C3380CC4-5D6E-409C-BE32-E72D297353CC}">
                <c16:uniqueId val="{00000007-AA7A-4519-884B-BF6588EF9015}"/>
              </c:ext>
            </c:extLst>
          </c:dPt>
          <c:dPt>
            <c:idx val="7"/>
            <c:invertIfNegative val="0"/>
            <c:bubble3D val="0"/>
            <c:extLst>
              <c:ext xmlns:c16="http://schemas.microsoft.com/office/drawing/2014/chart" uri="{C3380CC4-5D6E-409C-BE32-E72D297353CC}">
                <c16:uniqueId val="{00000008-AA7A-4519-884B-BF6588EF9015}"/>
              </c:ext>
            </c:extLst>
          </c:dPt>
          <c:dPt>
            <c:idx val="8"/>
            <c:invertIfNegative val="0"/>
            <c:bubble3D val="0"/>
            <c:extLst>
              <c:ext xmlns:c16="http://schemas.microsoft.com/office/drawing/2014/chart" uri="{C3380CC4-5D6E-409C-BE32-E72D297353CC}">
                <c16:uniqueId val="{00000009-AA7A-4519-884B-BF6588EF9015}"/>
              </c:ext>
            </c:extLst>
          </c:dPt>
          <c:dPt>
            <c:idx val="9"/>
            <c:invertIfNegative val="0"/>
            <c:bubble3D val="0"/>
            <c:extLst>
              <c:ext xmlns:c16="http://schemas.microsoft.com/office/drawing/2014/chart" uri="{C3380CC4-5D6E-409C-BE32-E72D297353CC}">
                <c16:uniqueId val="{0000000A-AA7A-4519-884B-BF6588EF9015}"/>
              </c:ext>
            </c:extLst>
          </c:dPt>
          <c:dPt>
            <c:idx val="10"/>
            <c:invertIfNegative val="0"/>
            <c:bubble3D val="0"/>
            <c:extLst>
              <c:ext xmlns:c16="http://schemas.microsoft.com/office/drawing/2014/chart" uri="{C3380CC4-5D6E-409C-BE32-E72D297353CC}">
                <c16:uniqueId val="{0000000B-AA7A-4519-884B-BF6588EF9015}"/>
              </c:ext>
            </c:extLst>
          </c:dPt>
          <c:dPt>
            <c:idx val="11"/>
            <c:invertIfNegative val="0"/>
            <c:bubble3D val="0"/>
            <c:extLst>
              <c:ext xmlns:c16="http://schemas.microsoft.com/office/drawing/2014/chart" uri="{C3380CC4-5D6E-409C-BE32-E72D297353CC}">
                <c16:uniqueId val="{0000000C-AA7A-4519-884B-BF6588EF9015}"/>
              </c:ext>
            </c:extLst>
          </c:dPt>
          <c:dPt>
            <c:idx val="12"/>
            <c:invertIfNegative val="0"/>
            <c:bubble3D val="0"/>
            <c:extLst>
              <c:ext xmlns:c16="http://schemas.microsoft.com/office/drawing/2014/chart" uri="{C3380CC4-5D6E-409C-BE32-E72D297353CC}">
                <c16:uniqueId val="{0000000D-AA7A-4519-884B-BF6588EF9015}"/>
              </c:ext>
            </c:extLst>
          </c:dPt>
          <c:dPt>
            <c:idx val="13"/>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F-AA7A-4519-884B-BF6588EF9015}"/>
              </c:ext>
            </c:extLst>
          </c:dPt>
          <c:dPt>
            <c:idx val="14"/>
            <c:invertIfNegative val="0"/>
            <c:bubble3D val="0"/>
            <c:extLst>
              <c:ext xmlns:c16="http://schemas.microsoft.com/office/drawing/2014/chart" uri="{C3380CC4-5D6E-409C-BE32-E72D297353CC}">
                <c16:uniqueId val="{00000010-AA7A-4519-884B-BF6588EF9015}"/>
              </c:ext>
            </c:extLst>
          </c:dPt>
          <c:dPt>
            <c:idx val="15"/>
            <c:invertIfNegative val="0"/>
            <c:bubble3D val="0"/>
            <c:extLst>
              <c:ext xmlns:c16="http://schemas.microsoft.com/office/drawing/2014/chart" uri="{C3380CC4-5D6E-409C-BE32-E72D297353CC}">
                <c16:uniqueId val="{00000011-AA7A-4519-884B-BF6588EF9015}"/>
              </c:ext>
            </c:extLst>
          </c:dPt>
          <c:dPt>
            <c:idx val="16"/>
            <c:invertIfNegative val="0"/>
            <c:bubble3D val="0"/>
            <c:extLst>
              <c:ext xmlns:c16="http://schemas.microsoft.com/office/drawing/2014/chart" uri="{C3380CC4-5D6E-409C-BE32-E72D297353CC}">
                <c16:uniqueId val="{00000012-AA7A-4519-884B-BF6588EF9015}"/>
              </c:ext>
            </c:extLst>
          </c:dPt>
          <c:dPt>
            <c:idx val="17"/>
            <c:invertIfNegative val="0"/>
            <c:bubble3D val="0"/>
            <c:extLst>
              <c:ext xmlns:c16="http://schemas.microsoft.com/office/drawing/2014/chart" uri="{C3380CC4-5D6E-409C-BE32-E72D297353CC}">
                <c16:uniqueId val="{00000013-AA7A-4519-884B-BF6588EF9015}"/>
              </c:ext>
            </c:extLst>
          </c:dPt>
          <c:dPt>
            <c:idx val="18"/>
            <c:invertIfNegative val="0"/>
            <c:bubble3D val="0"/>
            <c:extLst>
              <c:ext xmlns:c16="http://schemas.microsoft.com/office/drawing/2014/chart" uri="{C3380CC4-5D6E-409C-BE32-E72D297353CC}">
                <c16:uniqueId val="{00000014-AA7A-4519-884B-BF6588EF9015}"/>
              </c:ext>
            </c:extLst>
          </c:dPt>
          <c:dPt>
            <c:idx val="19"/>
            <c:invertIfNegative val="0"/>
            <c:bubble3D val="0"/>
            <c:extLst>
              <c:ext xmlns:c16="http://schemas.microsoft.com/office/drawing/2014/chart" uri="{C3380CC4-5D6E-409C-BE32-E72D297353CC}">
                <c16:uniqueId val="{00000015-AA7A-4519-884B-BF6588EF9015}"/>
              </c:ext>
            </c:extLst>
          </c:dPt>
          <c:dPt>
            <c:idx val="20"/>
            <c:invertIfNegative val="0"/>
            <c:bubble3D val="0"/>
            <c:extLst>
              <c:ext xmlns:c16="http://schemas.microsoft.com/office/drawing/2014/chart" uri="{C3380CC4-5D6E-409C-BE32-E72D297353CC}">
                <c16:uniqueId val="{00000016-AA7A-4519-884B-BF6588EF9015}"/>
              </c:ext>
            </c:extLst>
          </c:dPt>
          <c:dPt>
            <c:idx val="21"/>
            <c:invertIfNegative val="0"/>
            <c:bubble3D val="0"/>
            <c:extLst>
              <c:ext xmlns:c16="http://schemas.microsoft.com/office/drawing/2014/chart" uri="{C3380CC4-5D6E-409C-BE32-E72D297353CC}">
                <c16:uniqueId val="{00000017-AA7A-4519-884B-BF6588EF9015}"/>
              </c:ext>
            </c:extLst>
          </c:dPt>
          <c:dPt>
            <c:idx val="22"/>
            <c:invertIfNegative val="0"/>
            <c:bubble3D val="0"/>
            <c:extLst>
              <c:ext xmlns:c16="http://schemas.microsoft.com/office/drawing/2014/chart" uri="{C3380CC4-5D6E-409C-BE32-E72D297353CC}">
                <c16:uniqueId val="{00000018-AA7A-4519-884B-BF6588EF9015}"/>
              </c:ext>
            </c:extLst>
          </c:dPt>
          <c:dPt>
            <c:idx val="23"/>
            <c:invertIfNegative val="0"/>
            <c:bubble3D val="0"/>
            <c:extLst>
              <c:ext xmlns:c16="http://schemas.microsoft.com/office/drawing/2014/chart" uri="{C3380CC4-5D6E-409C-BE32-E72D297353CC}">
                <c16:uniqueId val="{00000019-AA7A-4519-884B-BF6588EF9015}"/>
              </c:ext>
            </c:extLst>
          </c:dPt>
          <c:dPt>
            <c:idx val="24"/>
            <c:invertIfNegative val="0"/>
            <c:bubble3D val="0"/>
            <c:extLst>
              <c:ext xmlns:c16="http://schemas.microsoft.com/office/drawing/2014/chart" uri="{C3380CC4-5D6E-409C-BE32-E72D297353CC}">
                <c16:uniqueId val="{0000001A-AA7A-4519-884B-BF6588EF9015}"/>
              </c:ext>
            </c:extLst>
          </c:dPt>
          <c:dPt>
            <c:idx val="2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C-AA7A-4519-884B-BF6588EF9015}"/>
              </c:ext>
            </c:extLst>
          </c:dPt>
          <c:dPt>
            <c:idx val="26"/>
            <c:invertIfNegative val="0"/>
            <c:bubble3D val="0"/>
            <c:extLst>
              <c:ext xmlns:c16="http://schemas.microsoft.com/office/drawing/2014/chart" uri="{C3380CC4-5D6E-409C-BE32-E72D297353CC}">
                <c16:uniqueId val="{0000001D-AA7A-4519-884B-BF6588EF9015}"/>
              </c:ext>
            </c:extLst>
          </c:dPt>
          <c:dPt>
            <c:idx val="27"/>
            <c:invertIfNegative val="0"/>
            <c:bubble3D val="0"/>
            <c:extLst>
              <c:ext xmlns:c16="http://schemas.microsoft.com/office/drawing/2014/chart" uri="{C3380CC4-5D6E-409C-BE32-E72D297353CC}">
                <c16:uniqueId val="{0000001E-AA7A-4519-884B-BF6588EF9015}"/>
              </c:ext>
            </c:extLst>
          </c:dPt>
          <c:dPt>
            <c:idx val="28"/>
            <c:invertIfNegative val="0"/>
            <c:bubble3D val="0"/>
            <c:extLst>
              <c:ext xmlns:c16="http://schemas.microsoft.com/office/drawing/2014/chart" uri="{C3380CC4-5D6E-409C-BE32-E72D297353CC}">
                <c16:uniqueId val="{0000001F-AA7A-4519-884B-BF6588EF9015}"/>
              </c:ext>
            </c:extLst>
          </c:dPt>
          <c:dPt>
            <c:idx val="29"/>
            <c:invertIfNegative val="0"/>
            <c:bubble3D val="0"/>
            <c:extLst>
              <c:ext xmlns:c16="http://schemas.microsoft.com/office/drawing/2014/chart" uri="{C3380CC4-5D6E-409C-BE32-E72D297353CC}">
                <c16:uniqueId val="{00000020-AA7A-4519-884B-BF6588EF9015}"/>
              </c:ext>
            </c:extLst>
          </c:dPt>
          <c:dPt>
            <c:idx val="30"/>
            <c:invertIfNegative val="0"/>
            <c:bubble3D val="0"/>
            <c:extLst>
              <c:ext xmlns:c16="http://schemas.microsoft.com/office/drawing/2014/chart" uri="{C3380CC4-5D6E-409C-BE32-E72D297353CC}">
                <c16:uniqueId val="{00000021-AA7A-4519-884B-BF6588EF9015}"/>
              </c:ext>
            </c:extLst>
          </c:dPt>
          <c:dPt>
            <c:idx val="31"/>
            <c:invertIfNegative val="0"/>
            <c:bubble3D val="0"/>
            <c:extLst>
              <c:ext xmlns:c16="http://schemas.microsoft.com/office/drawing/2014/chart" uri="{C3380CC4-5D6E-409C-BE32-E72D297353CC}">
                <c16:uniqueId val="{00000022-AA7A-4519-884B-BF6588EF9015}"/>
              </c:ext>
            </c:extLst>
          </c:dPt>
          <c:dPt>
            <c:idx val="32"/>
            <c:invertIfNegative val="0"/>
            <c:bubble3D val="0"/>
            <c:extLst>
              <c:ext xmlns:c16="http://schemas.microsoft.com/office/drawing/2014/chart" uri="{C3380CC4-5D6E-409C-BE32-E72D297353CC}">
                <c16:uniqueId val="{00000023-AA7A-4519-884B-BF6588EF9015}"/>
              </c:ext>
            </c:extLst>
          </c:dPt>
          <c:dPt>
            <c:idx val="33"/>
            <c:invertIfNegative val="0"/>
            <c:bubble3D val="0"/>
            <c:extLst>
              <c:ext xmlns:c16="http://schemas.microsoft.com/office/drawing/2014/chart" uri="{C3380CC4-5D6E-409C-BE32-E72D297353CC}">
                <c16:uniqueId val="{00000024-AA7A-4519-884B-BF6588EF9015}"/>
              </c:ext>
            </c:extLst>
          </c:dPt>
          <c:dPt>
            <c:idx val="34"/>
            <c:invertIfNegative val="0"/>
            <c:bubble3D val="0"/>
            <c:extLst>
              <c:ext xmlns:c16="http://schemas.microsoft.com/office/drawing/2014/chart" uri="{C3380CC4-5D6E-409C-BE32-E72D297353CC}">
                <c16:uniqueId val="{00000025-AA7A-4519-884B-BF6588EF9015}"/>
              </c:ext>
            </c:extLst>
          </c:dPt>
          <c:dPt>
            <c:idx val="35"/>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7-AA7A-4519-884B-BF6588EF9015}"/>
              </c:ext>
            </c:extLst>
          </c:dPt>
          <c:dPt>
            <c:idx val="36"/>
            <c:invertIfNegative val="0"/>
            <c:bubble3D val="0"/>
            <c:extLst>
              <c:ext xmlns:c16="http://schemas.microsoft.com/office/drawing/2014/chart" uri="{C3380CC4-5D6E-409C-BE32-E72D297353CC}">
                <c16:uniqueId val="{00000028-AA7A-4519-884B-BF6588EF9015}"/>
              </c:ext>
            </c:extLst>
          </c:dPt>
          <c:dPt>
            <c:idx val="37"/>
            <c:invertIfNegative val="0"/>
            <c:bubble3D val="0"/>
            <c:extLst>
              <c:ext xmlns:c16="http://schemas.microsoft.com/office/drawing/2014/chart" uri="{C3380CC4-5D6E-409C-BE32-E72D297353CC}">
                <c16:uniqueId val="{00000029-AA7A-4519-884B-BF6588EF9015}"/>
              </c:ext>
            </c:extLst>
          </c:dPt>
          <c:dPt>
            <c:idx val="38"/>
            <c:invertIfNegative val="0"/>
            <c:bubble3D val="0"/>
            <c:extLst>
              <c:ext xmlns:c16="http://schemas.microsoft.com/office/drawing/2014/chart" uri="{C3380CC4-5D6E-409C-BE32-E72D297353CC}">
                <c16:uniqueId val="{0000002A-AA7A-4519-884B-BF6588EF9015}"/>
              </c:ext>
            </c:extLst>
          </c:dPt>
          <c:dPt>
            <c:idx val="39"/>
            <c:invertIfNegative val="0"/>
            <c:bubble3D val="0"/>
            <c:extLst>
              <c:ext xmlns:c16="http://schemas.microsoft.com/office/drawing/2014/chart" uri="{C3380CC4-5D6E-409C-BE32-E72D297353CC}">
                <c16:uniqueId val="{0000002B-AA7A-4519-884B-BF6588EF9015}"/>
              </c:ext>
            </c:extLst>
          </c:dPt>
          <c:dPt>
            <c:idx val="40"/>
            <c:invertIfNegative val="0"/>
            <c:bubble3D val="0"/>
            <c:extLst>
              <c:ext xmlns:c16="http://schemas.microsoft.com/office/drawing/2014/chart" uri="{C3380CC4-5D6E-409C-BE32-E72D297353CC}">
                <c16:uniqueId val="{0000002C-AA7A-4519-884B-BF6588EF9015}"/>
              </c:ext>
            </c:extLst>
          </c:dPt>
          <c:dPt>
            <c:idx val="41"/>
            <c:invertIfNegative val="0"/>
            <c:bubble3D val="0"/>
            <c:extLst>
              <c:ext xmlns:c16="http://schemas.microsoft.com/office/drawing/2014/chart" uri="{C3380CC4-5D6E-409C-BE32-E72D297353CC}">
                <c16:uniqueId val="{0000002D-AA7A-4519-884B-BF6588EF9015}"/>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Datos!$A$221:$B$256</c:f>
              <c:multiLvlStrCache>
                <c:ptCount val="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Fp/</c:v>
                  </c:pt>
                </c:lvl>
                <c:lvl>
                  <c:pt idx="0">
                    <c:v>2022</c:v>
                  </c:pt>
                  <c:pt idx="12">
                    <c:v>2023</c:v>
                  </c:pt>
                  <c:pt idx="24">
                    <c:v>2024</c:v>
                  </c:pt>
                </c:lvl>
              </c:multiLvlStrCache>
            </c:multiLvlStrRef>
          </c:cat>
          <c:val>
            <c:numRef>
              <c:f>Datos!$C$221:$C$256</c:f>
              <c:numCache>
                <c:formatCode>0.0</c:formatCode>
                <c:ptCount val="26"/>
                <c:pt idx="0">
                  <c:v>53.323999999999998</c:v>
                </c:pt>
                <c:pt idx="1">
                  <c:v>51.259</c:v>
                </c:pt>
                <c:pt idx="2">
                  <c:v>55.914999999999999</c:v>
                </c:pt>
                <c:pt idx="3">
                  <c:v>49.49</c:v>
                </c:pt>
                <c:pt idx="4">
                  <c:v>54.613</c:v>
                </c:pt>
                <c:pt idx="5">
                  <c:v>51.45</c:v>
                </c:pt>
                <c:pt idx="6">
                  <c:v>52.15</c:v>
                </c:pt>
                <c:pt idx="7">
                  <c:v>51.567</c:v>
                </c:pt>
                <c:pt idx="8">
                  <c:v>50.374000000000002</c:v>
                </c:pt>
                <c:pt idx="9">
                  <c:v>53.021999999999998</c:v>
                </c:pt>
                <c:pt idx="10">
                  <c:v>51.738999999999997</c:v>
                </c:pt>
                <c:pt idx="11">
                  <c:v>48.22</c:v>
                </c:pt>
                <c:pt idx="12">
                  <c:v>52.463000000000001</c:v>
                </c:pt>
                <c:pt idx="13">
                  <c:v>51.692</c:v>
                </c:pt>
                <c:pt idx="14">
                  <c:v>54.201000000000001</c:v>
                </c:pt>
                <c:pt idx="15">
                  <c:v>51.226999999999997</c:v>
                </c:pt>
                <c:pt idx="16">
                  <c:v>54.79</c:v>
                </c:pt>
                <c:pt idx="17">
                  <c:v>53.156999999999996</c:v>
                </c:pt>
                <c:pt idx="18">
                  <c:v>50.320999999999998</c:v>
                </c:pt>
                <c:pt idx="19">
                  <c:v>52.518000000000001</c:v>
                </c:pt>
                <c:pt idx="20">
                  <c:v>51.238</c:v>
                </c:pt>
                <c:pt idx="21">
                  <c:v>48.9</c:v>
                </c:pt>
                <c:pt idx="22">
                  <c:v>48.585000000000001</c:v>
                </c:pt>
                <c:pt idx="23">
                  <c:v>46.813000000000002</c:v>
                </c:pt>
                <c:pt idx="24">
                  <c:v>51.167999999999999</c:v>
                </c:pt>
                <c:pt idx="25">
                  <c:v>53.451999999999998</c:v>
                </c:pt>
              </c:numCache>
            </c:numRef>
          </c:val>
          <c:extLst>
            <c:ext xmlns:c16="http://schemas.microsoft.com/office/drawing/2014/chart" uri="{C3380CC4-5D6E-409C-BE32-E72D297353CC}">
              <c16:uniqueId val="{0000002E-AA7A-4519-884B-BF6588EF9015}"/>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9D2A-FE70-44B9-8FC9-B90B1FFF12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1E2321-E373-4948-908E-6CCB5A88CD96}">
  <ds:schemaRefs>
    <ds:schemaRef ds:uri="http://schemas.microsoft.com/sharepoint/v3/contenttype/forms"/>
  </ds:schemaRefs>
</ds:datastoreItem>
</file>

<file path=customXml/itemProps3.xml><?xml version="1.0" encoding="utf-8"?>
<ds:datastoreItem xmlns:ds="http://schemas.openxmlformats.org/officeDocument/2006/customXml" ds:itemID="{E4647A5F-E3DD-4CD5-B765-6126B3601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73500A-0AB4-4E2E-ADFD-89BB2365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32</TotalTime>
  <Pages>10</Pages>
  <Words>2582</Words>
  <Characters>14206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Indicador de Pedidos Manufactureros</vt:lpstr>
    </vt:vector>
  </TitlesOfParts>
  <Company>INEGI</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Indicador de Pedidos Manufactureros</dc:title>
  <dc:subject>Indicador de Pedidos Manufactureros</dc:subject>
  <dc:creator>INEGI</dc:creator>
  <cp:keywords>Opinión Empresa Expectativas Indicador Pedidos</cp:keywords>
  <cp:lastModifiedBy>GUILLEN MEDINA MOISES</cp:lastModifiedBy>
  <cp:revision>13</cp:revision>
  <cp:lastPrinted>2023-10-31T04:07:00Z</cp:lastPrinted>
  <dcterms:created xsi:type="dcterms:W3CDTF">2024-02-29T17:27:00Z</dcterms:created>
  <dcterms:modified xsi:type="dcterms:W3CDTF">2024-02-29T22:14:00Z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127206f64c0d14eb0c557e44b8e6ee80b75329b943c8ad695e994b0e5832c7d7</vt:lpwstr>
  </property>
  <property fmtid="{D5CDD505-2E9C-101B-9397-08002B2CF9AE}" pid="3" name="ContentTypeId">
    <vt:lpwstr>0x01010068D8128FBF1DCB4BB482DBB94943CBF1</vt:lpwstr>
  </property>
</Properties>
</file>