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drawings/drawing1.xml" ContentType="application/vnd.openxmlformats-officedocument.drawingml.chartshapes+xml"/>
  <Override PartName="/word/charts/chart39.xml" ContentType="application/vnd.openxmlformats-officedocument.drawingml.chart+xml"/>
  <Override PartName="/word/charts/chart40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02F24" w14:textId="046AE2DF" w:rsidR="00BB20DC" w:rsidRDefault="00BB20DC" w:rsidP="006A5FA6">
      <w:pPr>
        <w:spacing w:before="300" w:after="300"/>
        <w:jc w:val="right"/>
        <w:rPr>
          <w:b/>
          <w:bCs/>
          <w:color w:val="07BFBA"/>
        </w:rPr>
      </w:pPr>
      <w:bookmarkStart w:id="0" w:name="_Hlk33002076"/>
      <w:r w:rsidRPr="00487038">
        <w:rPr>
          <w:b/>
          <w:bCs/>
          <w:color w:val="07BFBA"/>
        </w:rPr>
        <w:t xml:space="preserve">Próxima publicación: </w:t>
      </w:r>
      <w:r w:rsidR="00B50A1F">
        <w:rPr>
          <w:b/>
          <w:bCs/>
          <w:color w:val="07BFBA"/>
        </w:rPr>
        <w:t>2</w:t>
      </w:r>
      <w:r w:rsidR="007325AE">
        <w:rPr>
          <w:b/>
          <w:bCs/>
          <w:color w:val="07BFBA"/>
        </w:rPr>
        <w:t>9 de abril</w:t>
      </w:r>
      <w:r w:rsidR="008B751A">
        <w:rPr>
          <w:b/>
          <w:bCs/>
          <w:color w:val="07BFBA"/>
        </w:rPr>
        <w:t xml:space="preserve"> de 2025</w:t>
      </w:r>
    </w:p>
    <w:tbl>
      <w:tblPr>
        <w:tblStyle w:val="Tablaconcuadrcula"/>
        <w:tblW w:w="499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570"/>
        <w:gridCol w:w="1881"/>
        <w:gridCol w:w="570"/>
        <w:gridCol w:w="153"/>
        <w:gridCol w:w="1881"/>
        <w:gridCol w:w="570"/>
        <w:gridCol w:w="1826"/>
        <w:gridCol w:w="616"/>
      </w:tblGrid>
      <w:tr w:rsidR="00703D47" w:rsidRPr="009D4A7D" w14:paraId="21FB45A7" w14:textId="77777777" w:rsidTr="00447FF7">
        <w:trPr>
          <w:trHeight w:hRule="exact" w:val="850"/>
          <w:jc w:val="center"/>
        </w:trPr>
        <w:tc>
          <w:tcPr>
            <w:tcW w:w="490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vAlign w:val="center"/>
          </w:tcPr>
          <w:p w14:paraId="6916062A" w14:textId="33BBD7A7" w:rsidR="00703D47" w:rsidRPr="008F20A8" w:rsidRDefault="00703D47" w:rsidP="00A739E9">
            <w:pPr>
              <w:jc w:val="center"/>
              <w:rPr>
                <w:b/>
                <w:bCs/>
                <w:color w:val="07BFBA"/>
                <w:sz w:val="20"/>
                <w:szCs w:val="20"/>
              </w:rPr>
            </w:pPr>
            <w:r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Actividad económica</w:t>
            </w:r>
            <w:r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br/>
              <w:t>por e</w:t>
            </w:r>
            <w:r w:rsidRPr="008F20A8"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ntidad federativa</w:t>
            </w:r>
          </w:p>
        </w:tc>
        <w:tc>
          <w:tcPr>
            <w:tcW w:w="153" w:type="dxa"/>
            <w:tcBorders>
              <w:left w:val="single" w:sz="4" w:space="0" w:color="C0C0C0"/>
              <w:right w:val="single" w:sz="4" w:space="0" w:color="C0C0C0"/>
            </w:tcBorders>
          </w:tcPr>
          <w:p w14:paraId="0CF76C81" w14:textId="77777777" w:rsidR="00703D47" w:rsidRPr="009D4A7D" w:rsidRDefault="00703D47" w:rsidP="00A739E9">
            <w:pPr>
              <w:spacing w:before="300" w:after="300"/>
              <w:jc w:val="right"/>
              <w:rPr>
                <w:b/>
                <w:bCs/>
                <w:color w:val="07BFBA"/>
                <w:sz w:val="8"/>
                <w:szCs w:val="8"/>
              </w:rPr>
            </w:pPr>
          </w:p>
        </w:tc>
        <w:tc>
          <w:tcPr>
            <w:tcW w:w="489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C0C0C0"/>
            <w:vAlign w:val="center"/>
          </w:tcPr>
          <w:p w14:paraId="0B0A3761" w14:textId="77777777" w:rsidR="00703D47" w:rsidRPr="008F20A8" w:rsidRDefault="00703D47" w:rsidP="00A739E9">
            <w:pPr>
              <w:jc w:val="center"/>
              <w:rPr>
                <w:b/>
                <w:bCs/>
                <w:color w:val="07BFBA"/>
                <w:sz w:val="20"/>
                <w:szCs w:val="20"/>
              </w:rPr>
            </w:pPr>
            <w:r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 xml:space="preserve">Actividad económica </w:t>
            </w:r>
            <w:r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br/>
              <w:t>por e</w:t>
            </w:r>
            <w:r w:rsidRPr="008F20A8">
              <w:rPr>
                <w:b/>
                <w:bCs/>
                <w:kern w:val="24"/>
                <w:sz w:val="20"/>
                <w:szCs w:val="20"/>
                <w:lang w:val="es-ES" w:eastAsia="es-MX"/>
              </w:rPr>
              <w:t>ntidad federativa</w:t>
            </w:r>
          </w:p>
        </w:tc>
      </w:tr>
      <w:tr w:rsidR="00703D47" w:rsidRPr="00835F79" w14:paraId="3D13E6BC" w14:textId="77777777" w:rsidTr="00447FF7">
        <w:trPr>
          <w:trHeight w:hRule="exact" w:val="454"/>
          <w:jc w:val="center"/>
        </w:trPr>
        <w:tc>
          <w:tcPr>
            <w:tcW w:w="490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3FABE119" w14:textId="5A698008" w:rsidR="00703D47" w:rsidRPr="000163E3" w:rsidRDefault="00C267EA" w:rsidP="00A739E9">
            <w:pPr>
              <w:jc w:val="center"/>
              <w:rPr>
                <w:color w:val="808080"/>
                <w:spacing w:val="6"/>
                <w:sz w:val="18"/>
                <w:szCs w:val="18"/>
                <w:lang w:val="es-MX"/>
              </w:rPr>
            </w:pPr>
            <w:r w:rsidRPr="000163E3">
              <w:rPr>
                <w:kern w:val="24"/>
                <w:sz w:val="18"/>
                <w:szCs w:val="18"/>
                <w:lang w:val="es-ES" w:eastAsia="es-MX"/>
              </w:rPr>
              <w:t>3</w:t>
            </w:r>
            <w:r w:rsidR="00866AB1">
              <w:rPr>
                <w:kern w:val="24"/>
                <w:sz w:val="18"/>
                <w:szCs w:val="18"/>
                <w:lang w:val="es-ES" w:eastAsia="es-MX"/>
              </w:rPr>
              <w:t>.</w:t>
            </w:r>
            <w:r w:rsidRPr="000163E3">
              <w:rPr>
                <w:kern w:val="24"/>
                <w:sz w:val="18"/>
                <w:szCs w:val="18"/>
                <w:vertAlign w:val="superscript"/>
                <w:lang w:val="es-ES" w:eastAsia="es-MX"/>
              </w:rPr>
              <w:t>er</w:t>
            </w:r>
            <w:r w:rsidRPr="000163E3">
              <w:rPr>
                <w:kern w:val="24"/>
                <w:sz w:val="18"/>
                <w:szCs w:val="18"/>
                <w:lang w:val="es-ES" w:eastAsia="es-MX"/>
              </w:rPr>
              <w:t xml:space="preserve"> trimestre </w:t>
            </w:r>
            <w:r>
              <w:rPr>
                <w:kern w:val="24"/>
                <w:sz w:val="18"/>
                <w:szCs w:val="18"/>
                <w:lang w:val="es-ES" w:eastAsia="es-MX"/>
              </w:rPr>
              <w:br/>
            </w:r>
            <w:r w:rsidR="00703D47" w:rsidRPr="000163E3">
              <w:rPr>
                <w:kern w:val="24"/>
                <w:sz w:val="18"/>
                <w:szCs w:val="18"/>
                <w:lang w:val="es-ES" w:eastAsia="es-MX"/>
              </w:rPr>
              <w:t>Mayor variación % trimestral</w:t>
            </w:r>
          </w:p>
        </w:tc>
        <w:tc>
          <w:tcPr>
            <w:tcW w:w="15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3FE75639" w14:textId="77777777" w:rsidR="00703D47" w:rsidRPr="000163E3" w:rsidRDefault="00703D47" w:rsidP="00A739E9">
            <w:pPr>
              <w:jc w:val="center"/>
              <w:rPr>
                <w:color w:val="808080"/>
                <w:kern w:val="24"/>
                <w:sz w:val="18"/>
                <w:szCs w:val="18"/>
                <w:lang w:eastAsia="es-MX"/>
              </w:rPr>
            </w:pPr>
          </w:p>
        </w:tc>
        <w:tc>
          <w:tcPr>
            <w:tcW w:w="489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8E38FE4" w14:textId="6490CF78" w:rsidR="00703D47" w:rsidRPr="000163E3" w:rsidRDefault="00C267EA" w:rsidP="00A739E9">
            <w:pPr>
              <w:jc w:val="center"/>
              <w:rPr>
                <w:spacing w:val="6"/>
                <w:sz w:val="18"/>
                <w:szCs w:val="18"/>
                <w:lang w:val="es-MX"/>
              </w:rPr>
            </w:pPr>
            <w:r w:rsidRPr="001D4CFE">
              <w:rPr>
                <w:kern w:val="24"/>
                <w:sz w:val="18"/>
                <w:szCs w:val="18"/>
                <w:lang w:val="es-ES" w:eastAsia="es-MX"/>
              </w:rPr>
              <w:t>3</w:t>
            </w:r>
            <w:r w:rsidR="00866AB1">
              <w:rPr>
                <w:kern w:val="24"/>
                <w:sz w:val="18"/>
                <w:szCs w:val="18"/>
                <w:lang w:val="es-ES" w:eastAsia="es-MX"/>
              </w:rPr>
              <w:t>.</w:t>
            </w:r>
            <w:r w:rsidRPr="001D4CFE">
              <w:rPr>
                <w:kern w:val="24"/>
                <w:sz w:val="18"/>
                <w:szCs w:val="18"/>
                <w:vertAlign w:val="superscript"/>
                <w:lang w:val="es-ES" w:eastAsia="es-MX"/>
              </w:rPr>
              <w:t>er</w:t>
            </w:r>
            <w:r w:rsidRPr="001D4CFE">
              <w:rPr>
                <w:kern w:val="24"/>
                <w:sz w:val="18"/>
                <w:szCs w:val="18"/>
                <w:lang w:val="es-ES" w:eastAsia="es-MX"/>
              </w:rPr>
              <w:t xml:space="preserve"> trimestre </w:t>
            </w:r>
            <w:r>
              <w:rPr>
                <w:kern w:val="24"/>
                <w:sz w:val="18"/>
                <w:szCs w:val="18"/>
                <w:lang w:val="es-ES" w:eastAsia="es-MX"/>
              </w:rPr>
              <w:br/>
            </w:r>
            <w:r w:rsidR="00703D47" w:rsidRPr="001D4CFE">
              <w:rPr>
                <w:kern w:val="24"/>
                <w:sz w:val="18"/>
                <w:szCs w:val="18"/>
                <w:lang w:val="es-ES" w:eastAsia="es-MX"/>
              </w:rPr>
              <w:t xml:space="preserve">Mayor variación % </w:t>
            </w:r>
            <w:r w:rsidR="00703D47">
              <w:rPr>
                <w:kern w:val="24"/>
                <w:sz w:val="18"/>
                <w:szCs w:val="18"/>
                <w:lang w:val="es-ES" w:eastAsia="es-MX"/>
              </w:rPr>
              <w:t>anual</w:t>
            </w:r>
          </w:p>
        </w:tc>
      </w:tr>
      <w:tr w:rsidR="00703D47" w:rsidRPr="00835F79" w14:paraId="2386850A" w14:textId="77777777" w:rsidTr="00447FF7">
        <w:trPr>
          <w:trHeight w:hRule="exact" w:val="227"/>
          <w:jc w:val="center"/>
        </w:trPr>
        <w:tc>
          <w:tcPr>
            <w:tcW w:w="245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3F878A05" w14:textId="77777777" w:rsidR="00703D47" w:rsidRPr="000163E3" w:rsidRDefault="00703D47" w:rsidP="00A739E9">
            <w:pPr>
              <w:jc w:val="center"/>
              <w:rPr>
                <w:spacing w:val="6"/>
                <w:sz w:val="18"/>
                <w:szCs w:val="18"/>
                <w:lang w:val="es-MX"/>
              </w:rPr>
            </w:pPr>
            <w:r w:rsidRPr="000163E3">
              <w:rPr>
                <w:color w:val="808080"/>
                <w:spacing w:val="6"/>
                <w:sz w:val="18"/>
                <w:szCs w:val="18"/>
                <w:lang w:val="es-MX"/>
              </w:rPr>
              <w:t>▲</w:t>
            </w:r>
            <w:r>
              <w:rPr>
                <w:color w:val="808080"/>
                <w:spacing w:val="6"/>
                <w:sz w:val="18"/>
                <w:szCs w:val="18"/>
                <w:lang w:val="es-MX"/>
              </w:rPr>
              <w:t xml:space="preserve"> </w:t>
            </w:r>
            <w:r w:rsidRPr="000163E3">
              <w:rPr>
                <w:spacing w:val="6"/>
                <w:sz w:val="18"/>
                <w:szCs w:val="18"/>
                <w:lang w:val="es-MX"/>
              </w:rPr>
              <w:t>al alza</w:t>
            </w:r>
          </w:p>
        </w:tc>
        <w:tc>
          <w:tcPr>
            <w:tcW w:w="2451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4DC6C5D8" w14:textId="77777777" w:rsidR="00703D47" w:rsidRPr="000163E3" w:rsidRDefault="00703D47" w:rsidP="00A739E9">
            <w:pPr>
              <w:jc w:val="center"/>
              <w:rPr>
                <w:spacing w:val="6"/>
                <w:sz w:val="18"/>
                <w:szCs w:val="18"/>
                <w:lang w:val="es-MX"/>
              </w:rPr>
            </w:pPr>
            <w:r w:rsidRPr="000163E3">
              <w:rPr>
                <w:color w:val="808080"/>
                <w:spacing w:val="6"/>
                <w:sz w:val="18"/>
                <w:szCs w:val="18"/>
                <w:lang w:val="es-MX"/>
              </w:rPr>
              <w:t>▼</w:t>
            </w:r>
            <w:r>
              <w:rPr>
                <w:color w:val="808080"/>
                <w:spacing w:val="6"/>
                <w:sz w:val="18"/>
                <w:szCs w:val="18"/>
                <w:lang w:val="es-MX"/>
              </w:rPr>
              <w:t xml:space="preserve"> </w:t>
            </w:r>
            <w:r w:rsidRPr="000163E3">
              <w:rPr>
                <w:spacing w:val="6"/>
                <w:sz w:val="18"/>
                <w:szCs w:val="18"/>
                <w:lang w:val="es-MX"/>
              </w:rPr>
              <w:t>a la baja</w:t>
            </w:r>
          </w:p>
        </w:tc>
        <w:tc>
          <w:tcPr>
            <w:tcW w:w="15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5DA0DC1D" w14:textId="77777777" w:rsidR="00703D47" w:rsidRPr="000163E3" w:rsidRDefault="00703D47" w:rsidP="00A739E9">
            <w:pPr>
              <w:jc w:val="center"/>
              <w:rPr>
                <w:color w:val="07BFBA"/>
                <w:sz w:val="18"/>
                <w:szCs w:val="18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7F292CE8" w14:textId="77777777" w:rsidR="00703D47" w:rsidRPr="000163E3" w:rsidRDefault="00703D47" w:rsidP="00A739E9">
            <w:pPr>
              <w:jc w:val="center"/>
              <w:rPr>
                <w:spacing w:val="6"/>
                <w:sz w:val="18"/>
                <w:szCs w:val="18"/>
                <w:lang w:val="es-MX"/>
              </w:rPr>
            </w:pPr>
            <w:r w:rsidRPr="000163E3">
              <w:rPr>
                <w:color w:val="808080"/>
                <w:spacing w:val="6"/>
                <w:sz w:val="18"/>
                <w:szCs w:val="18"/>
                <w:lang w:val="es-MX"/>
              </w:rPr>
              <w:t>▲</w:t>
            </w:r>
            <w:r>
              <w:rPr>
                <w:color w:val="808080"/>
                <w:spacing w:val="6"/>
                <w:sz w:val="18"/>
                <w:szCs w:val="18"/>
                <w:lang w:val="es-MX"/>
              </w:rPr>
              <w:t xml:space="preserve"> </w:t>
            </w:r>
            <w:r w:rsidRPr="000163E3">
              <w:rPr>
                <w:spacing w:val="6"/>
                <w:sz w:val="18"/>
                <w:szCs w:val="18"/>
                <w:lang w:val="es-MX"/>
              </w:rPr>
              <w:t>al alza</w:t>
            </w:r>
          </w:p>
        </w:tc>
        <w:tc>
          <w:tcPr>
            <w:tcW w:w="244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F2F2F2"/>
            <w:vAlign w:val="center"/>
          </w:tcPr>
          <w:p w14:paraId="69ACC175" w14:textId="77777777" w:rsidR="00703D47" w:rsidRPr="000163E3" w:rsidRDefault="00703D47" w:rsidP="00A739E9">
            <w:pPr>
              <w:jc w:val="center"/>
              <w:rPr>
                <w:spacing w:val="6"/>
                <w:sz w:val="18"/>
                <w:szCs w:val="18"/>
                <w:lang w:val="es-MX"/>
              </w:rPr>
            </w:pPr>
            <w:r w:rsidRPr="000163E3">
              <w:rPr>
                <w:color w:val="808080"/>
                <w:spacing w:val="6"/>
                <w:sz w:val="18"/>
                <w:szCs w:val="18"/>
                <w:lang w:val="es-MX"/>
              </w:rPr>
              <w:t>▼</w:t>
            </w:r>
            <w:r>
              <w:rPr>
                <w:color w:val="808080"/>
                <w:spacing w:val="6"/>
                <w:sz w:val="18"/>
                <w:szCs w:val="18"/>
                <w:lang w:val="es-MX"/>
              </w:rPr>
              <w:t xml:space="preserve"> </w:t>
            </w:r>
            <w:r w:rsidRPr="000163E3">
              <w:rPr>
                <w:spacing w:val="6"/>
                <w:sz w:val="18"/>
                <w:szCs w:val="18"/>
                <w:lang w:val="es-MX"/>
              </w:rPr>
              <w:t>a la baja</w:t>
            </w:r>
          </w:p>
        </w:tc>
      </w:tr>
      <w:tr w:rsidR="00703D47" w:rsidRPr="00835F79" w14:paraId="0750E77A" w14:textId="77777777" w:rsidTr="00447FF7">
        <w:trPr>
          <w:trHeight w:hRule="exact" w:val="340"/>
          <w:jc w:val="center"/>
        </w:trPr>
        <w:tc>
          <w:tcPr>
            <w:tcW w:w="1881" w:type="dxa"/>
            <w:tcBorders>
              <w:top w:val="single" w:sz="4" w:space="0" w:color="C0C0C0"/>
              <w:left w:val="single" w:sz="4" w:space="0" w:color="C0C0C0"/>
            </w:tcBorders>
            <w:vAlign w:val="center"/>
          </w:tcPr>
          <w:p w14:paraId="7AAA9ACF" w14:textId="11FB7070" w:rsidR="00703D47" w:rsidRPr="008F164F" w:rsidRDefault="00CF66AC" w:rsidP="00A739E9">
            <w:pPr>
              <w:ind w:left="57"/>
              <w:jc w:val="left"/>
              <w:rPr>
                <w:sz w:val="22"/>
                <w:szCs w:val="22"/>
                <w:lang w:val="es-MX"/>
              </w:rPr>
            </w:pPr>
            <w:r w:rsidRPr="008F164F">
              <w:rPr>
                <w:sz w:val="22"/>
                <w:szCs w:val="22"/>
                <w:lang w:val="es-MX"/>
              </w:rPr>
              <w:t>Hidalgo</w:t>
            </w:r>
          </w:p>
        </w:tc>
        <w:tc>
          <w:tcPr>
            <w:tcW w:w="570" w:type="dxa"/>
            <w:tcBorders>
              <w:top w:val="single" w:sz="4" w:space="0" w:color="C0C0C0"/>
              <w:right w:val="single" w:sz="4" w:space="0" w:color="C0C0C0"/>
            </w:tcBorders>
            <w:vAlign w:val="center"/>
          </w:tcPr>
          <w:p w14:paraId="7E01F0A8" w14:textId="673D1CE1" w:rsidR="00703D47" w:rsidRPr="008F164F" w:rsidRDefault="00CF66AC" w:rsidP="00A739E9">
            <w:pPr>
              <w:ind w:right="57"/>
              <w:jc w:val="right"/>
              <w:rPr>
                <w:color w:val="07BFBA"/>
                <w:sz w:val="22"/>
                <w:szCs w:val="22"/>
              </w:rPr>
            </w:pPr>
            <w:r w:rsidRPr="008F164F">
              <w:rPr>
                <w:sz w:val="22"/>
                <w:szCs w:val="22"/>
                <w:lang w:val="es-MX"/>
              </w:rPr>
              <w:t>5.9</w:t>
            </w:r>
            <w:r w:rsidR="00703D47" w:rsidRPr="008F164F">
              <w:rPr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1881" w:type="dxa"/>
            <w:tcBorders>
              <w:top w:val="single" w:sz="4" w:space="0" w:color="C0C0C0"/>
              <w:left w:val="nil"/>
            </w:tcBorders>
            <w:vAlign w:val="center"/>
          </w:tcPr>
          <w:p w14:paraId="2B7A47CE" w14:textId="3C800CB0" w:rsidR="00703D47" w:rsidRPr="008F164F" w:rsidRDefault="00AD615C" w:rsidP="00A739E9">
            <w:pPr>
              <w:ind w:left="57"/>
              <w:jc w:val="left"/>
              <w:rPr>
                <w:sz w:val="22"/>
                <w:szCs w:val="22"/>
                <w:lang w:val="es-MX"/>
              </w:rPr>
            </w:pPr>
            <w:r w:rsidRPr="008F164F">
              <w:rPr>
                <w:sz w:val="22"/>
                <w:szCs w:val="22"/>
                <w:lang w:val="es-MX"/>
              </w:rPr>
              <w:t>Campeche</w:t>
            </w:r>
          </w:p>
        </w:tc>
        <w:tc>
          <w:tcPr>
            <w:tcW w:w="570" w:type="dxa"/>
            <w:tcBorders>
              <w:top w:val="single" w:sz="4" w:space="0" w:color="C0C0C0"/>
              <w:right w:val="single" w:sz="4" w:space="0" w:color="C0C0C0"/>
            </w:tcBorders>
            <w:vAlign w:val="center"/>
          </w:tcPr>
          <w:p w14:paraId="0D217D89" w14:textId="6A9D00E9" w:rsidR="00703D47" w:rsidRPr="008F164F" w:rsidRDefault="00703D47" w:rsidP="00A739E9">
            <w:pPr>
              <w:ind w:right="57"/>
              <w:jc w:val="right"/>
              <w:rPr>
                <w:color w:val="07BFBA"/>
                <w:sz w:val="22"/>
                <w:szCs w:val="22"/>
              </w:rPr>
            </w:pPr>
            <w:r w:rsidRPr="008F164F">
              <w:rPr>
                <w:sz w:val="22"/>
                <w:szCs w:val="22"/>
                <w:lang w:val="es-MX"/>
              </w:rPr>
              <w:t>-</w:t>
            </w:r>
            <w:r w:rsidR="00AD615C" w:rsidRPr="008F164F">
              <w:rPr>
                <w:sz w:val="22"/>
                <w:szCs w:val="22"/>
                <w:lang w:val="es-MX"/>
              </w:rPr>
              <w:t>5.1</w:t>
            </w:r>
            <w:r w:rsidRPr="008F164F">
              <w:rPr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15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58D9A01F" w14:textId="77777777" w:rsidR="00703D47" w:rsidRPr="008F164F" w:rsidRDefault="00703D47" w:rsidP="00A739E9">
            <w:pPr>
              <w:jc w:val="right"/>
              <w:rPr>
                <w:color w:val="07BFBA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C0C0C0"/>
              <w:left w:val="single" w:sz="4" w:space="0" w:color="C0C0C0"/>
            </w:tcBorders>
            <w:shd w:val="clear" w:color="auto" w:fill="FFFFFF" w:themeFill="background1"/>
            <w:vAlign w:val="center"/>
          </w:tcPr>
          <w:p w14:paraId="2FE0BDAC" w14:textId="370CAA4E" w:rsidR="00703D47" w:rsidRPr="008F164F" w:rsidRDefault="00D048B5" w:rsidP="00A739E9">
            <w:pPr>
              <w:ind w:left="57"/>
              <w:jc w:val="left"/>
              <w:rPr>
                <w:sz w:val="22"/>
                <w:szCs w:val="22"/>
                <w:lang w:val="es-MX"/>
              </w:rPr>
            </w:pPr>
            <w:r w:rsidRPr="008F164F">
              <w:rPr>
                <w:sz w:val="22"/>
                <w:szCs w:val="22"/>
                <w:lang w:val="es-MX"/>
              </w:rPr>
              <w:t>Zacatecas</w:t>
            </w:r>
          </w:p>
        </w:tc>
        <w:tc>
          <w:tcPr>
            <w:tcW w:w="570" w:type="dxa"/>
            <w:tcBorders>
              <w:top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5BD9455A" w14:textId="711A1B5A" w:rsidR="00703D47" w:rsidRPr="008F164F" w:rsidRDefault="00D048B5" w:rsidP="00A739E9">
            <w:pPr>
              <w:ind w:right="57"/>
              <w:jc w:val="right"/>
              <w:rPr>
                <w:sz w:val="22"/>
                <w:szCs w:val="22"/>
                <w:lang w:val="es-MX"/>
              </w:rPr>
            </w:pPr>
            <w:r w:rsidRPr="008F164F">
              <w:rPr>
                <w:sz w:val="22"/>
                <w:szCs w:val="22"/>
                <w:lang w:val="es-MX"/>
              </w:rPr>
              <w:t>7.5</w:t>
            </w:r>
          </w:p>
        </w:tc>
        <w:tc>
          <w:tcPr>
            <w:tcW w:w="1826" w:type="dxa"/>
            <w:tcBorders>
              <w:top w:val="single" w:sz="4" w:space="0" w:color="C0C0C0"/>
              <w:left w:val="nil"/>
            </w:tcBorders>
            <w:shd w:val="clear" w:color="auto" w:fill="FFFFFF" w:themeFill="background1"/>
            <w:vAlign w:val="center"/>
          </w:tcPr>
          <w:p w14:paraId="39466DAE" w14:textId="6476EE12" w:rsidR="00703D47" w:rsidRPr="008F164F" w:rsidRDefault="006F6159" w:rsidP="00A739E9">
            <w:pPr>
              <w:ind w:left="57"/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8F164F">
              <w:rPr>
                <w:color w:val="000000"/>
                <w:sz w:val="22"/>
                <w:szCs w:val="22"/>
                <w:lang w:val="es-MX" w:eastAsia="es-MX"/>
              </w:rPr>
              <w:t>Quintana Roo</w:t>
            </w:r>
          </w:p>
        </w:tc>
        <w:tc>
          <w:tcPr>
            <w:tcW w:w="616" w:type="dxa"/>
            <w:tcBorders>
              <w:top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5DEA79D6" w14:textId="332EFD2B" w:rsidR="00703D47" w:rsidRPr="008F164F" w:rsidRDefault="00703D47" w:rsidP="00A739E9">
            <w:pPr>
              <w:ind w:right="57"/>
              <w:jc w:val="right"/>
              <w:rPr>
                <w:sz w:val="22"/>
                <w:szCs w:val="22"/>
                <w:lang w:val="es-MX"/>
              </w:rPr>
            </w:pPr>
            <w:r w:rsidRPr="008F164F">
              <w:rPr>
                <w:color w:val="000000"/>
                <w:sz w:val="22"/>
                <w:szCs w:val="22"/>
                <w:lang w:val="es-MX" w:eastAsia="es-MX"/>
              </w:rPr>
              <w:t>-</w:t>
            </w:r>
            <w:r w:rsidR="006F6159" w:rsidRPr="008F164F">
              <w:rPr>
                <w:color w:val="000000"/>
                <w:sz w:val="22"/>
                <w:szCs w:val="22"/>
                <w:lang w:val="es-MX" w:eastAsia="es-MX"/>
              </w:rPr>
              <w:t>13.4</w:t>
            </w:r>
            <w:r w:rsidRPr="008F164F">
              <w:rPr>
                <w:color w:val="000000"/>
                <w:sz w:val="22"/>
                <w:szCs w:val="22"/>
                <w:lang w:val="es-MX" w:eastAsia="es-MX"/>
              </w:rPr>
              <w:t xml:space="preserve"> </w:t>
            </w:r>
          </w:p>
        </w:tc>
      </w:tr>
      <w:tr w:rsidR="00703D47" w:rsidRPr="00835F79" w14:paraId="5C4F166B" w14:textId="77777777" w:rsidTr="00447FF7">
        <w:trPr>
          <w:trHeight w:hRule="exact" w:val="340"/>
          <w:jc w:val="center"/>
        </w:trPr>
        <w:tc>
          <w:tcPr>
            <w:tcW w:w="1881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45CCF9E7" w14:textId="3DAE11A5" w:rsidR="00703D47" w:rsidRPr="008F164F" w:rsidRDefault="00CF66AC" w:rsidP="00A739E9">
            <w:pPr>
              <w:ind w:left="57"/>
              <w:jc w:val="left"/>
              <w:rPr>
                <w:sz w:val="22"/>
                <w:szCs w:val="22"/>
                <w:lang w:val="es-MX"/>
              </w:rPr>
            </w:pPr>
            <w:r w:rsidRPr="008F164F">
              <w:rPr>
                <w:sz w:val="22"/>
                <w:szCs w:val="22"/>
                <w:lang w:val="es-MX"/>
              </w:rPr>
              <w:t>Nuevo León</w:t>
            </w:r>
          </w:p>
        </w:tc>
        <w:tc>
          <w:tcPr>
            <w:tcW w:w="570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639BF0CD" w14:textId="6BF3B013" w:rsidR="00703D47" w:rsidRPr="008F164F" w:rsidRDefault="00CF66AC" w:rsidP="00A739E9">
            <w:pPr>
              <w:ind w:right="57"/>
              <w:jc w:val="right"/>
              <w:rPr>
                <w:sz w:val="22"/>
                <w:szCs w:val="22"/>
                <w:lang w:val="es-MX"/>
              </w:rPr>
            </w:pPr>
            <w:r w:rsidRPr="008F164F">
              <w:rPr>
                <w:sz w:val="22"/>
                <w:szCs w:val="22"/>
                <w:lang w:val="es-MX"/>
              </w:rPr>
              <w:t>4.0</w:t>
            </w:r>
            <w:r w:rsidR="00703D47" w:rsidRPr="008F164F">
              <w:rPr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1881" w:type="dxa"/>
            <w:tcBorders>
              <w:left w:val="nil"/>
            </w:tcBorders>
            <w:shd w:val="clear" w:color="auto" w:fill="auto"/>
            <w:vAlign w:val="center"/>
          </w:tcPr>
          <w:p w14:paraId="7071D92A" w14:textId="0E69C8D1" w:rsidR="00703D47" w:rsidRPr="008F164F" w:rsidRDefault="00AD615C" w:rsidP="00A739E9">
            <w:pPr>
              <w:ind w:left="57"/>
              <w:jc w:val="left"/>
              <w:rPr>
                <w:sz w:val="22"/>
                <w:szCs w:val="22"/>
                <w:lang w:val="es-MX"/>
              </w:rPr>
            </w:pPr>
            <w:r w:rsidRPr="008F164F">
              <w:rPr>
                <w:sz w:val="22"/>
                <w:szCs w:val="22"/>
                <w:lang w:val="es-MX"/>
              </w:rPr>
              <w:t>Durango</w:t>
            </w:r>
          </w:p>
        </w:tc>
        <w:tc>
          <w:tcPr>
            <w:tcW w:w="570" w:type="dxa"/>
            <w:tcBorders>
              <w:right w:val="single" w:sz="4" w:space="0" w:color="C0C0C0"/>
            </w:tcBorders>
            <w:vAlign w:val="center"/>
          </w:tcPr>
          <w:p w14:paraId="5AA5014A" w14:textId="0F9F0252" w:rsidR="00703D47" w:rsidRPr="008F164F" w:rsidRDefault="00703D47" w:rsidP="00A739E9">
            <w:pPr>
              <w:ind w:right="57"/>
              <w:jc w:val="right"/>
              <w:rPr>
                <w:sz w:val="22"/>
                <w:szCs w:val="22"/>
                <w:lang w:val="es-MX"/>
              </w:rPr>
            </w:pPr>
            <w:r w:rsidRPr="008F164F">
              <w:rPr>
                <w:sz w:val="22"/>
                <w:szCs w:val="22"/>
                <w:lang w:val="es-MX"/>
              </w:rPr>
              <w:t>-</w:t>
            </w:r>
            <w:r w:rsidR="00AD615C" w:rsidRPr="008F164F">
              <w:rPr>
                <w:sz w:val="22"/>
                <w:szCs w:val="22"/>
                <w:lang w:val="es-MX"/>
              </w:rPr>
              <w:t>3.2</w:t>
            </w:r>
            <w:r w:rsidRPr="008F164F">
              <w:rPr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15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72F566B" w14:textId="77777777" w:rsidR="00703D47" w:rsidRPr="008F164F" w:rsidRDefault="00703D47" w:rsidP="00A739E9">
            <w:pPr>
              <w:jc w:val="right"/>
              <w:rPr>
                <w:color w:val="07BFBA"/>
                <w:sz w:val="22"/>
                <w:szCs w:val="22"/>
              </w:rPr>
            </w:pPr>
          </w:p>
        </w:tc>
        <w:tc>
          <w:tcPr>
            <w:tcW w:w="1881" w:type="dxa"/>
            <w:tcBorders>
              <w:left w:val="single" w:sz="4" w:space="0" w:color="C0C0C0"/>
            </w:tcBorders>
            <w:shd w:val="clear" w:color="auto" w:fill="FFFFFF" w:themeFill="background1"/>
            <w:vAlign w:val="center"/>
          </w:tcPr>
          <w:p w14:paraId="3E12F4E1" w14:textId="1C5FAC3F" w:rsidR="00703D47" w:rsidRPr="008F164F" w:rsidRDefault="00D048B5" w:rsidP="00A739E9">
            <w:pPr>
              <w:ind w:left="57"/>
              <w:jc w:val="left"/>
              <w:rPr>
                <w:sz w:val="22"/>
                <w:szCs w:val="22"/>
                <w:lang w:val="es-MX"/>
              </w:rPr>
            </w:pPr>
            <w:r w:rsidRPr="008F164F">
              <w:rPr>
                <w:sz w:val="22"/>
                <w:szCs w:val="22"/>
                <w:lang w:val="es-MX"/>
              </w:rPr>
              <w:t>Oaxaca</w:t>
            </w:r>
          </w:p>
        </w:tc>
        <w:tc>
          <w:tcPr>
            <w:tcW w:w="570" w:type="dxa"/>
            <w:tcBorders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78492371" w14:textId="26CFCCD4" w:rsidR="00703D47" w:rsidRPr="008F164F" w:rsidRDefault="00D048B5" w:rsidP="00A739E9">
            <w:pPr>
              <w:ind w:right="57"/>
              <w:jc w:val="right"/>
              <w:rPr>
                <w:sz w:val="22"/>
                <w:szCs w:val="22"/>
                <w:lang w:val="es-MX"/>
              </w:rPr>
            </w:pPr>
            <w:r w:rsidRPr="008F164F">
              <w:rPr>
                <w:sz w:val="22"/>
                <w:szCs w:val="22"/>
                <w:lang w:val="es-MX"/>
              </w:rPr>
              <w:t>6.3</w:t>
            </w:r>
          </w:p>
        </w:tc>
        <w:tc>
          <w:tcPr>
            <w:tcW w:w="1826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8E19FBC" w14:textId="2B6C054E" w:rsidR="00703D47" w:rsidRPr="008F164F" w:rsidRDefault="006F6159" w:rsidP="00A739E9">
            <w:pPr>
              <w:ind w:left="57"/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8F164F">
              <w:rPr>
                <w:color w:val="000000"/>
                <w:sz w:val="22"/>
                <w:szCs w:val="22"/>
                <w:lang w:val="es-MX" w:eastAsia="es-MX"/>
              </w:rPr>
              <w:t>Campeche</w:t>
            </w:r>
          </w:p>
        </w:tc>
        <w:tc>
          <w:tcPr>
            <w:tcW w:w="616" w:type="dxa"/>
            <w:tcBorders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72B9C889" w14:textId="242EB7CC" w:rsidR="00703D47" w:rsidRPr="008F164F" w:rsidRDefault="00703D47" w:rsidP="00A739E9">
            <w:pPr>
              <w:ind w:right="57"/>
              <w:jc w:val="right"/>
              <w:rPr>
                <w:color w:val="000000"/>
                <w:sz w:val="22"/>
                <w:szCs w:val="22"/>
                <w:lang w:val="es-MX" w:eastAsia="es-MX"/>
              </w:rPr>
            </w:pPr>
            <w:r w:rsidRPr="008F164F">
              <w:rPr>
                <w:color w:val="000000"/>
                <w:sz w:val="22"/>
                <w:szCs w:val="22"/>
                <w:lang w:val="es-MX" w:eastAsia="es-MX"/>
              </w:rPr>
              <w:t>-</w:t>
            </w:r>
            <w:r w:rsidR="006F6159" w:rsidRPr="008F164F">
              <w:rPr>
                <w:color w:val="000000"/>
                <w:sz w:val="22"/>
                <w:szCs w:val="22"/>
                <w:lang w:val="es-MX" w:eastAsia="es-MX"/>
              </w:rPr>
              <w:t>10.4</w:t>
            </w:r>
            <w:r w:rsidRPr="008F164F">
              <w:rPr>
                <w:color w:val="000000"/>
                <w:sz w:val="22"/>
                <w:szCs w:val="22"/>
                <w:lang w:val="es-MX" w:eastAsia="es-MX"/>
              </w:rPr>
              <w:t xml:space="preserve"> </w:t>
            </w:r>
          </w:p>
        </w:tc>
      </w:tr>
      <w:tr w:rsidR="00703D47" w:rsidRPr="00835F79" w14:paraId="63B0671E" w14:textId="77777777" w:rsidTr="00447FF7">
        <w:trPr>
          <w:trHeight w:hRule="exact" w:val="340"/>
          <w:jc w:val="center"/>
        </w:trPr>
        <w:tc>
          <w:tcPr>
            <w:tcW w:w="1881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611C0161" w14:textId="1CF8727F" w:rsidR="00703D47" w:rsidRPr="008F164F" w:rsidRDefault="00CF66AC" w:rsidP="00A739E9">
            <w:pPr>
              <w:ind w:left="57"/>
              <w:jc w:val="left"/>
              <w:rPr>
                <w:sz w:val="22"/>
                <w:szCs w:val="22"/>
                <w:lang w:val="es-MX"/>
              </w:rPr>
            </w:pPr>
            <w:r w:rsidRPr="008F164F">
              <w:rPr>
                <w:sz w:val="22"/>
                <w:szCs w:val="22"/>
                <w:lang w:val="es-MX"/>
              </w:rPr>
              <w:t>Guanajuato</w:t>
            </w:r>
          </w:p>
        </w:tc>
        <w:tc>
          <w:tcPr>
            <w:tcW w:w="570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0A6DBF68" w14:textId="05A97A50" w:rsidR="00703D47" w:rsidRPr="008F164F" w:rsidRDefault="00CF66AC" w:rsidP="00A739E9">
            <w:pPr>
              <w:ind w:right="57"/>
              <w:jc w:val="right"/>
              <w:rPr>
                <w:sz w:val="22"/>
                <w:szCs w:val="22"/>
                <w:lang w:val="es-MX"/>
              </w:rPr>
            </w:pPr>
            <w:r w:rsidRPr="008F164F">
              <w:rPr>
                <w:sz w:val="22"/>
                <w:szCs w:val="22"/>
                <w:lang w:val="es-MX"/>
              </w:rPr>
              <w:t>2.7</w:t>
            </w:r>
            <w:r w:rsidR="00703D47" w:rsidRPr="008F164F">
              <w:rPr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1881" w:type="dxa"/>
            <w:tcBorders>
              <w:left w:val="nil"/>
              <w:bottom w:val="single" w:sz="4" w:space="0" w:color="C0C0C0"/>
            </w:tcBorders>
            <w:vAlign w:val="center"/>
          </w:tcPr>
          <w:p w14:paraId="2F54B21A" w14:textId="39E22CE2" w:rsidR="00703D47" w:rsidRPr="008F164F" w:rsidRDefault="00DB5638" w:rsidP="00A739E9">
            <w:pPr>
              <w:ind w:left="57"/>
              <w:jc w:val="left"/>
              <w:rPr>
                <w:sz w:val="22"/>
                <w:szCs w:val="22"/>
                <w:lang w:val="es-MX"/>
              </w:rPr>
            </w:pPr>
            <w:r w:rsidRPr="008F164F">
              <w:rPr>
                <w:sz w:val="22"/>
                <w:szCs w:val="22"/>
                <w:lang w:val="es-MX"/>
              </w:rPr>
              <w:t>Quintana Roo</w:t>
            </w:r>
          </w:p>
        </w:tc>
        <w:tc>
          <w:tcPr>
            <w:tcW w:w="570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5F41678F" w14:textId="0627CF67" w:rsidR="00703D47" w:rsidRPr="008F164F" w:rsidRDefault="00703D47" w:rsidP="00A739E9">
            <w:pPr>
              <w:ind w:right="57"/>
              <w:jc w:val="right"/>
              <w:rPr>
                <w:sz w:val="22"/>
                <w:szCs w:val="22"/>
                <w:lang w:val="es-MX"/>
              </w:rPr>
            </w:pPr>
            <w:r w:rsidRPr="008F164F">
              <w:rPr>
                <w:sz w:val="22"/>
                <w:szCs w:val="22"/>
                <w:lang w:val="es-MX"/>
              </w:rPr>
              <w:t>-</w:t>
            </w:r>
            <w:r w:rsidR="00DB5638" w:rsidRPr="008F164F">
              <w:rPr>
                <w:sz w:val="22"/>
                <w:szCs w:val="22"/>
                <w:lang w:val="es-MX"/>
              </w:rPr>
              <w:t>2.4</w:t>
            </w:r>
            <w:r w:rsidRPr="008F164F">
              <w:rPr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153" w:type="dxa"/>
            <w:tcBorders>
              <w:left w:val="single" w:sz="4" w:space="0" w:color="C0C0C0"/>
              <w:right w:val="single" w:sz="4" w:space="0" w:color="C0C0C0"/>
            </w:tcBorders>
            <w:vAlign w:val="center"/>
          </w:tcPr>
          <w:p w14:paraId="6B2ECA2A" w14:textId="77777777" w:rsidR="00703D47" w:rsidRPr="008F164F" w:rsidRDefault="00703D47" w:rsidP="00A739E9">
            <w:pPr>
              <w:jc w:val="right"/>
              <w:rPr>
                <w:color w:val="07BFBA"/>
                <w:sz w:val="22"/>
                <w:szCs w:val="22"/>
              </w:rPr>
            </w:pPr>
          </w:p>
        </w:tc>
        <w:tc>
          <w:tcPr>
            <w:tcW w:w="1881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 w:themeFill="background1"/>
            <w:vAlign w:val="center"/>
          </w:tcPr>
          <w:p w14:paraId="7D0E98B4" w14:textId="71411308" w:rsidR="00703D47" w:rsidRPr="008F164F" w:rsidRDefault="0094390C" w:rsidP="00A739E9">
            <w:pPr>
              <w:ind w:left="57"/>
              <w:jc w:val="left"/>
              <w:rPr>
                <w:sz w:val="22"/>
                <w:szCs w:val="22"/>
                <w:lang w:val="es-MX"/>
              </w:rPr>
            </w:pPr>
            <w:r w:rsidRPr="008F164F">
              <w:rPr>
                <w:sz w:val="22"/>
                <w:szCs w:val="22"/>
                <w:lang w:val="es-MX"/>
              </w:rPr>
              <w:t>Nuevo León</w:t>
            </w:r>
          </w:p>
        </w:tc>
        <w:tc>
          <w:tcPr>
            <w:tcW w:w="570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34051D83" w14:textId="2D43E8DB" w:rsidR="00703D47" w:rsidRPr="008F164F" w:rsidRDefault="00703D47" w:rsidP="00A739E9">
            <w:pPr>
              <w:ind w:right="57"/>
              <w:jc w:val="right"/>
              <w:rPr>
                <w:sz w:val="22"/>
                <w:szCs w:val="22"/>
                <w:lang w:val="es-MX"/>
              </w:rPr>
            </w:pPr>
            <w:r w:rsidRPr="008F164F">
              <w:rPr>
                <w:sz w:val="22"/>
                <w:szCs w:val="22"/>
                <w:lang w:val="es-MX"/>
              </w:rPr>
              <w:t>5.</w:t>
            </w:r>
            <w:r w:rsidR="0094390C" w:rsidRPr="008F164F">
              <w:rPr>
                <w:sz w:val="22"/>
                <w:szCs w:val="22"/>
                <w:lang w:val="es-MX"/>
              </w:rPr>
              <w:t>8</w:t>
            </w:r>
          </w:p>
        </w:tc>
        <w:tc>
          <w:tcPr>
            <w:tcW w:w="1826" w:type="dxa"/>
            <w:tcBorders>
              <w:left w:val="nil"/>
              <w:bottom w:val="single" w:sz="4" w:space="0" w:color="C0C0C0"/>
            </w:tcBorders>
            <w:shd w:val="clear" w:color="auto" w:fill="FFFFFF" w:themeFill="background1"/>
            <w:vAlign w:val="center"/>
          </w:tcPr>
          <w:p w14:paraId="434A08A0" w14:textId="12163D9E" w:rsidR="00703D47" w:rsidRPr="008F164F" w:rsidRDefault="006F6159" w:rsidP="00A739E9">
            <w:pPr>
              <w:ind w:left="57"/>
              <w:jc w:val="left"/>
              <w:rPr>
                <w:color w:val="000000"/>
                <w:sz w:val="22"/>
                <w:szCs w:val="22"/>
                <w:lang w:val="es-MX" w:eastAsia="es-MX"/>
              </w:rPr>
            </w:pPr>
            <w:r w:rsidRPr="008F164F">
              <w:rPr>
                <w:color w:val="000000"/>
                <w:sz w:val="22"/>
                <w:szCs w:val="22"/>
                <w:lang w:val="es-MX" w:eastAsia="es-MX"/>
              </w:rPr>
              <w:t>Tabasco</w:t>
            </w:r>
          </w:p>
        </w:tc>
        <w:tc>
          <w:tcPr>
            <w:tcW w:w="616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0A39BA65" w14:textId="3CE9F15D" w:rsidR="00703D47" w:rsidRPr="008F164F" w:rsidRDefault="00703D47" w:rsidP="00A739E9">
            <w:pPr>
              <w:ind w:right="57"/>
              <w:jc w:val="right"/>
              <w:rPr>
                <w:color w:val="000000"/>
                <w:sz w:val="22"/>
                <w:szCs w:val="22"/>
                <w:lang w:val="es-MX" w:eastAsia="es-MX"/>
              </w:rPr>
            </w:pPr>
            <w:r w:rsidRPr="008F164F">
              <w:rPr>
                <w:color w:val="000000"/>
                <w:sz w:val="22"/>
                <w:szCs w:val="22"/>
                <w:lang w:val="es-MX" w:eastAsia="es-MX"/>
              </w:rPr>
              <w:t>-</w:t>
            </w:r>
            <w:r w:rsidR="006F6159" w:rsidRPr="008F164F">
              <w:rPr>
                <w:color w:val="000000"/>
                <w:sz w:val="22"/>
                <w:szCs w:val="22"/>
                <w:lang w:val="es-MX" w:eastAsia="es-MX"/>
              </w:rPr>
              <w:t>6.9</w:t>
            </w:r>
            <w:r w:rsidRPr="008F164F">
              <w:rPr>
                <w:color w:val="000000"/>
                <w:sz w:val="22"/>
                <w:szCs w:val="22"/>
                <w:lang w:val="es-MX" w:eastAsia="es-MX"/>
              </w:rPr>
              <w:t xml:space="preserve"> </w:t>
            </w:r>
          </w:p>
        </w:tc>
      </w:tr>
    </w:tbl>
    <w:p w14:paraId="7E6B6FBD" w14:textId="170F6993" w:rsidR="00703D47" w:rsidRPr="00703D47" w:rsidRDefault="00540069" w:rsidP="00703D47">
      <w:pPr>
        <w:spacing w:before="300" w:after="300"/>
        <w:jc w:val="center"/>
        <w:rPr>
          <w:b/>
          <w:bCs/>
        </w:rPr>
      </w:pPr>
      <w:r>
        <w:rPr>
          <w:rFonts w:ascii="Aptos" w:eastAsia="Aptos" w:hAnsi="Aptos" w:cs="Aptos"/>
          <w:b/>
          <w:bCs/>
        </w:rPr>
        <w:t>Hidalgo</w:t>
      </w:r>
      <w:r w:rsidR="00703D47" w:rsidRPr="000163E3">
        <w:rPr>
          <w:rFonts w:ascii="Aptos" w:eastAsia="Aptos" w:hAnsi="Aptos" w:cs="Aptos"/>
          <w:b/>
          <w:bCs/>
        </w:rPr>
        <w:t xml:space="preserve">, </w:t>
      </w:r>
      <w:r>
        <w:rPr>
          <w:rFonts w:ascii="Aptos" w:eastAsia="Aptos" w:hAnsi="Aptos" w:cs="Aptos"/>
          <w:b/>
          <w:bCs/>
        </w:rPr>
        <w:t>Nuevo León</w:t>
      </w:r>
      <w:r w:rsidR="00703D47" w:rsidRPr="000163E3">
        <w:rPr>
          <w:rFonts w:ascii="Aptos" w:eastAsia="Aptos" w:hAnsi="Aptos" w:cs="Aptos"/>
          <w:b/>
          <w:bCs/>
        </w:rPr>
        <w:t xml:space="preserve"> y G</w:t>
      </w:r>
      <w:r>
        <w:rPr>
          <w:rFonts w:ascii="Aptos" w:eastAsia="Aptos" w:hAnsi="Aptos" w:cs="Aptos"/>
          <w:b/>
          <w:bCs/>
        </w:rPr>
        <w:t>uanajuato</w:t>
      </w:r>
      <w:r w:rsidR="00703D47" w:rsidRPr="000163E3">
        <w:rPr>
          <w:rFonts w:ascii="Aptos" w:eastAsia="Aptos" w:hAnsi="Aptos" w:cs="Aptos"/>
          <w:b/>
          <w:bCs/>
        </w:rPr>
        <w:t xml:space="preserve"> fueron los estados con mayor </w:t>
      </w:r>
      <w:r w:rsidR="00C267EA">
        <w:rPr>
          <w:rFonts w:ascii="Aptos" w:eastAsia="Aptos" w:hAnsi="Aptos" w:cs="Aptos"/>
          <w:b/>
          <w:bCs/>
        </w:rPr>
        <w:br/>
      </w:r>
      <w:r w:rsidR="00703D47">
        <w:rPr>
          <w:rFonts w:ascii="Aptos" w:eastAsia="Aptos" w:hAnsi="Aptos" w:cs="Aptos"/>
          <w:b/>
          <w:bCs/>
        </w:rPr>
        <w:t xml:space="preserve">incremento </w:t>
      </w:r>
      <w:r w:rsidR="00703D47" w:rsidRPr="00987E6A">
        <w:rPr>
          <w:rFonts w:ascii="Aptos" w:eastAsia="Aptos" w:hAnsi="Aptos" w:cs="Aptos"/>
          <w:b/>
          <w:bCs/>
        </w:rPr>
        <w:t xml:space="preserve">trimestral </w:t>
      </w:r>
      <w:r w:rsidR="00703D47">
        <w:rPr>
          <w:rFonts w:ascii="Aptos" w:eastAsia="Aptos" w:hAnsi="Aptos" w:cs="Aptos"/>
          <w:b/>
          <w:bCs/>
        </w:rPr>
        <w:t>en su</w:t>
      </w:r>
      <w:r>
        <w:rPr>
          <w:rFonts w:ascii="Aptos" w:eastAsia="Aptos" w:hAnsi="Aptos" w:cs="Aptos"/>
          <w:b/>
          <w:bCs/>
        </w:rPr>
        <w:t xml:space="preserve"> </w:t>
      </w:r>
      <w:r w:rsidR="00703D47" w:rsidRPr="000163E3">
        <w:rPr>
          <w:rFonts w:ascii="Aptos" w:eastAsia="Aptos" w:hAnsi="Aptos" w:cs="Aptos"/>
          <w:b/>
          <w:bCs/>
        </w:rPr>
        <w:t>actividad económica</w:t>
      </w:r>
      <w:r w:rsidR="00703D47">
        <w:rPr>
          <w:rFonts w:ascii="Aptos" w:eastAsia="Aptos" w:hAnsi="Aptos" w:cs="Aptos"/>
          <w:b/>
          <w:bCs/>
        </w:rPr>
        <w:t>,</w:t>
      </w:r>
      <w:r w:rsidR="00703D47" w:rsidRPr="000163E3">
        <w:rPr>
          <w:rFonts w:ascii="Aptos" w:eastAsia="Aptos" w:hAnsi="Aptos" w:cs="Aptos"/>
          <w:b/>
          <w:bCs/>
        </w:rPr>
        <w:t xml:space="preserve"> en el </w:t>
      </w:r>
      <w:r w:rsidR="00703D47">
        <w:rPr>
          <w:rFonts w:ascii="Aptos" w:eastAsia="Aptos" w:hAnsi="Aptos" w:cs="Aptos"/>
          <w:b/>
          <w:bCs/>
        </w:rPr>
        <w:t>terc</w:t>
      </w:r>
      <w:r w:rsidR="00703D47" w:rsidRPr="000163E3">
        <w:rPr>
          <w:rFonts w:ascii="Aptos" w:eastAsia="Aptos" w:hAnsi="Aptos" w:cs="Aptos"/>
          <w:b/>
          <w:bCs/>
        </w:rPr>
        <w:t>er trimestre de 2024</w:t>
      </w:r>
    </w:p>
    <w:p w14:paraId="34B1607B" w14:textId="7D911F5A" w:rsidR="00F54014" w:rsidRDefault="00E05EAA" w:rsidP="008F164F">
      <w:pPr>
        <w:pStyle w:val="Prrafodelista"/>
        <w:spacing w:before="240"/>
        <w:ind w:left="0"/>
        <w:rPr>
          <w:bCs/>
        </w:rPr>
      </w:pPr>
      <w:r>
        <w:rPr>
          <w:bCs/>
        </w:rPr>
        <w:t>E</w:t>
      </w:r>
      <w:r w:rsidR="00F75050" w:rsidRPr="00F75050">
        <w:rPr>
          <w:bCs/>
        </w:rPr>
        <w:t xml:space="preserve">l </w:t>
      </w:r>
      <w:r w:rsidR="002D2065" w:rsidRPr="002D2065">
        <w:t xml:space="preserve">Indicador Trimestral </w:t>
      </w:r>
      <w:r w:rsidR="002D2065">
        <w:t>d</w:t>
      </w:r>
      <w:r w:rsidR="002D2065" w:rsidRPr="002D2065">
        <w:t xml:space="preserve">e </w:t>
      </w:r>
      <w:r w:rsidR="002D2065">
        <w:t>l</w:t>
      </w:r>
      <w:r w:rsidR="002D2065" w:rsidRPr="002D2065">
        <w:t xml:space="preserve">a Actividad Económica Estatal </w:t>
      </w:r>
      <w:r w:rsidR="002D2065" w:rsidRPr="002D2065">
        <w:rPr>
          <w:smallCaps/>
        </w:rPr>
        <w:t>(</w:t>
      </w:r>
      <w:proofErr w:type="spellStart"/>
      <w:r w:rsidR="002D2065" w:rsidRPr="002D2065">
        <w:rPr>
          <w:smallCaps/>
        </w:rPr>
        <w:t>itaee</w:t>
      </w:r>
      <w:proofErr w:type="spellEnd"/>
      <w:r w:rsidR="002D2065" w:rsidRPr="002D2065">
        <w:rPr>
          <w:smallCaps/>
        </w:rPr>
        <w:t>)</w:t>
      </w:r>
      <w:r w:rsidR="002D2065">
        <w:rPr>
          <w:smallCaps/>
        </w:rPr>
        <w:t xml:space="preserve"> </w:t>
      </w:r>
      <w:r w:rsidR="00B50A1F" w:rsidRPr="009751CC">
        <w:t>ofrece un panorama sobre la evolución económica de las entidades federativas del país.</w:t>
      </w:r>
    </w:p>
    <w:p w14:paraId="2C2F3BCD" w14:textId="34EC0FB3" w:rsidR="002D2065" w:rsidRPr="00605B46" w:rsidRDefault="00E23EEF" w:rsidP="008F164F">
      <w:pPr>
        <w:pStyle w:val="Ttulo4"/>
        <w:keepNext w:val="0"/>
        <w:keepLines w:val="0"/>
        <w:spacing w:before="240"/>
        <w:jc w:val="center"/>
        <w:rPr>
          <w:rFonts w:ascii="Arial" w:hAnsi="Arial" w:cs="Arial"/>
          <w:b/>
          <w:bCs/>
          <w:i w:val="0"/>
          <w:iCs w:val="0"/>
          <w:smallCaps/>
          <w:color w:val="000000"/>
          <w:sz w:val="26"/>
          <w:szCs w:val="26"/>
        </w:rPr>
      </w:pPr>
      <w:bookmarkStart w:id="1" w:name="_Hlk123837737"/>
      <w:r w:rsidRPr="00605B46">
        <w:rPr>
          <w:rFonts w:ascii="Arial" w:hAnsi="Arial" w:cs="Arial"/>
          <w:b/>
          <w:bCs/>
          <w:i w:val="0"/>
          <w:smallCaps/>
          <w:color w:val="000000"/>
          <w:sz w:val="26"/>
          <w:szCs w:val="26"/>
        </w:rPr>
        <w:t xml:space="preserve">i. </w:t>
      </w:r>
      <w:r w:rsidR="002D2065" w:rsidRPr="00605B46">
        <w:rPr>
          <w:rFonts w:ascii="Arial" w:hAnsi="Arial" w:cs="Arial"/>
          <w:b/>
          <w:bCs/>
          <w:i w:val="0"/>
          <w:smallCaps/>
          <w:color w:val="000000"/>
          <w:sz w:val="26"/>
          <w:szCs w:val="26"/>
        </w:rPr>
        <w:t>cifras desestacionalizadas</w:t>
      </w:r>
    </w:p>
    <w:p w14:paraId="65CEE2E3" w14:textId="32BCE343" w:rsidR="00A40C00" w:rsidRPr="00A40C00" w:rsidRDefault="00A40C00" w:rsidP="008F164F">
      <w:pPr>
        <w:pStyle w:val="Prrafodelista"/>
        <w:spacing w:before="240"/>
        <w:ind w:left="0"/>
        <w:rPr>
          <w:bCs/>
        </w:rPr>
      </w:pPr>
      <w:r w:rsidRPr="00A40C00">
        <w:rPr>
          <w:bCs/>
        </w:rPr>
        <w:t xml:space="preserve">Durante el </w:t>
      </w:r>
      <w:r w:rsidR="006D2320">
        <w:rPr>
          <w:bCs/>
        </w:rPr>
        <w:t>tercer</w:t>
      </w:r>
      <w:r w:rsidRPr="00A40C00">
        <w:rPr>
          <w:bCs/>
        </w:rPr>
        <w:t xml:space="preserve"> trimestre de 2024 y con cifras ajustadas por estacionalidad</w:t>
      </w:r>
      <w:r w:rsidR="002D2065">
        <w:rPr>
          <w:bCs/>
        </w:rPr>
        <w:t>,</w:t>
      </w:r>
      <w:r w:rsidR="002D2065">
        <w:rPr>
          <w:rStyle w:val="Refdenotaalpie"/>
          <w:bCs/>
        </w:rPr>
        <w:footnoteReference w:id="2"/>
      </w:r>
      <w:r w:rsidRPr="00A40C00">
        <w:rPr>
          <w:bCs/>
        </w:rPr>
        <w:t xml:space="preserve"> las entidades federativas que </w:t>
      </w:r>
      <w:r w:rsidR="00370E59">
        <w:rPr>
          <w:bCs/>
        </w:rPr>
        <w:t xml:space="preserve">registraron </w:t>
      </w:r>
      <w:r w:rsidRPr="00A40C00">
        <w:rPr>
          <w:bCs/>
        </w:rPr>
        <w:t xml:space="preserve">los </w:t>
      </w:r>
      <w:r w:rsidR="00370E59">
        <w:rPr>
          <w:bCs/>
        </w:rPr>
        <w:t xml:space="preserve">mayores incrementos </w:t>
      </w:r>
      <w:r w:rsidRPr="00A40C00">
        <w:rPr>
          <w:bCs/>
        </w:rPr>
        <w:t xml:space="preserve">en su actividad económica, a tasa trimestral, fueron </w:t>
      </w:r>
      <w:r w:rsidR="001E2CAB">
        <w:rPr>
          <w:bCs/>
        </w:rPr>
        <w:t>Hidalgo</w:t>
      </w:r>
      <w:r w:rsidR="00522D88">
        <w:rPr>
          <w:bCs/>
        </w:rPr>
        <w:t>,</w:t>
      </w:r>
      <w:r w:rsidR="00370E59">
        <w:rPr>
          <w:bCs/>
        </w:rPr>
        <w:t xml:space="preserve"> con un aumento de </w:t>
      </w:r>
      <w:r w:rsidR="001E2CAB">
        <w:rPr>
          <w:bCs/>
        </w:rPr>
        <w:t>5.9</w:t>
      </w:r>
      <w:r w:rsidR="00370E59">
        <w:rPr>
          <w:bCs/>
        </w:rPr>
        <w:t> %;</w:t>
      </w:r>
      <w:r w:rsidRPr="00A40C00">
        <w:rPr>
          <w:bCs/>
        </w:rPr>
        <w:t xml:space="preserve"> </w:t>
      </w:r>
      <w:r w:rsidR="001E2CAB">
        <w:rPr>
          <w:bCs/>
        </w:rPr>
        <w:t>Nuevo León</w:t>
      </w:r>
      <w:r w:rsidRPr="00A40C00">
        <w:rPr>
          <w:bCs/>
        </w:rPr>
        <w:t>,</w:t>
      </w:r>
      <w:r w:rsidR="00EA3E85">
        <w:rPr>
          <w:bCs/>
        </w:rPr>
        <w:t xml:space="preserve"> con</w:t>
      </w:r>
      <w:r w:rsidRPr="00A40C00">
        <w:rPr>
          <w:bCs/>
        </w:rPr>
        <w:t xml:space="preserve"> </w:t>
      </w:r>
      <w:r w:rsidR="00370E59">
        <w:rPr>
          <w:bCs/>
        </w:rPr>
        <w:t>4.</w:t>
      </w:r>
      <w:r w:rsidR="001E2CAB">
        <w:rPr>
          <w:bCs/>
        </w:rPr>
        <w:t>0 </w:t>
      </w:r>
      <w:r w:rsidR="00370E59">
        <w:rPr>
          <w:bCs/>
        </w:rPr>
        <w:t xml:space="preserve">%; </w:t>
      </w:r>
      <w:r w:rsidR="001E2CAB">
        <w:rPr>
          <w:bCs/>
        </w:rPr>
        <w:t>Guanajuato</w:t>
      </w:r>
      <w:r w:rsidRPr="00A40C00">
        <w:rPr>
          <w:bCs/>
        </w:rPr>
        <w:t>,</w:t>
      </w:r>
      <w:r w:rsidR="00EA3E85">
        <w:rPr>
          <w:bCs/>
        </w:rPr>
        <w:t xml:space="preserve"> con</w:t>
      </w:r>
      <w:r w:rsidRPr="00A40C00">
        <w:rPr>
          <w:bCs/>
        </w:rPr>
        <w:t xml:space="preserve"> </w:t>
      </w:r>
      <w:r w:rsidR="001E2CAB">
        <w:rPr>
          <w:bCs/>
        </w:rPr>
        <w:t>2.7</w:t>
      </w:r>
      <w:r w:rsidR="00370E59">
        <w:rPr>
          <w:bCs/>
        </w:rPr>
        <w:t xml:space="preserve"> %; </w:t>
      </w:r>
      <w:r w:rsidR="001E2CAB">
        <w:rPr>
          <w:bCs/>
        </w:rPr>
        <w:t>San Luis Potosí</w:t>
      </w:r>
      <w:r w:rsidR="00370E59">
        <w:rPr>
          <w:bCs/>
        </w:rPr>
        <w:t>,</w:t>
      </w:r>
      <w:r w:rsidR="00EA3E85">
        <w:rPr>
          <w:bCs/>
        </w:rPr>
        <w:t xml:space="preserve"> con</w:t>
      </w:r>
      <w:r w:rsidR="00370E59">
        <w:rPr>
          <w:bCs/>
        </w:rPr>
        <w:t xml:space="preserve"> 2.</w:t>
      </w:r>
      <w:r w:rsidR="001E2CAB">
        <w:rPr>
          <w:bCs/>
        </w:rPr>
        <w:t>6</w:t>
      </w:r>
      <w:r w:rsidR="00370E59">
        <w:rPr>
          <w:bCs/>
        </w:rPr>
        <w:t> %</w:t>
      </w:r>
      <w:r w:rsidR="002F520E">
        <w:rPr>
          <w:bCs/>
        </w:rPr>
        <w:t>, y</w:t>
      </w:r>
      <w:r w:rsidRPr="00A40C00">
        <w:rPr>
          <w:bCs/>
        </w:rPr>
        <w:t xml:space="preserve"> </w:t>
      </w:r>
      <w:r w:rsidR="001E2CAB">
        <w:rPr>
          <w:bCs/>
        </w:rPr>
        <w:t>Ciudad de México</w:t>
      </w:r>
      <w:r w:rsidR="00EA3E85">
        <w:rPr>
          <w:bCs/>
        </w:rPr>
        <w:t xml:space="preserve"> </w:t>
      </w:r>
      <w:r w:rsidRPr="00A40C00">
        <w:rPr>
          <w:bCs/>
        </w:rPr>
        <w:t xml:space="preserve">y </w:t>
      </w:r>
      <w:r w:rsidR="001E2CAB">
        <w:rPr>
          <w:bCs/>
        </w:rPr>
        <w:t>Sinaloa</w:t>
      </w:r>
      <w:r w:rsidR="00370E59">
        <w:rPr>
          <w:bCs/>
        </w:rPr>
        <w:t xml:space="preserve">, </w:t>
      </w:r>
      <w:r w:rsidR="00EA3E85">
        <w:rPr>
          <w:bCs/>
        </w:rPr>
        <w:t xml:space="preserve">con </w:t>
      </w:r>
      <w:r w:rsidR="001E2CAB">
        <w:rPr>
          <w:bCs/>
        </w:rPr>
        <w:t>1.8</w:t>
      </w:r>
      <w:r w:rsidR="00370E59">
        <w:rPr>
          <w:bCs/>
        </w:rPr>
        <w:t xml:space="preserve"> por ciento</w:t>
      </w:r>
      <w:r w:rsidRPr="00A40C00">
        <w:rPr>
          <w:bCs/>
        </w:rPr>
        <w:t>.</w:t>
      </w:r>
    </w:p>
    <w:bookmarkEnd w:id="1"/>
    <w:p w14:paraId="22B3D640" w14:textId="77777777" w:rsidR="00370E59" w:rsidRPr="00AE1DC1" w:rsidRDefault="00370E59">
      <w:pPr>
        <w:jc w:val="left"/>
        <w:rPr>
          <w:bCs/>
        </w:rPr>
      </w:pPr>
    </w:p>
    <w:p w14:paraId="0038E291" w14:textId="2AE0A135" w:rsidR="001E2CAB" w:rsidRDefault="00370E59" w:rsidP="00AE1DC1">
      <w:pPr>
        <w:rPr>
          <w:bCs/>
        </w:rPr>
      </w:pPr>
      <w:r w:rsidRPr="00AE1DC1">
        <w:rPr>
          <w:bCs/>
        </w:rPr>
        <w:t xml:space="preserve">A tasa anual, </w:t>
      </w:r>
      <w:r w:rsidR="00D121DB">
        <w:rPr>
          <w:bCs/>
        </w:rPr>
        <w:t>Zacatecas</w:t>
      </w:r>
      <w:r w:rsidRPr="00AE1DC1">
        <w:rPr>
          <w:bCs/>
        </w:rPr>
        <w:t xml:space="preserve">, </w:t>
      </w:r>
      <w:r w:rsidR="00D121DB">
        <w:rPr>
          <w:bCs/>
        </w:rPr>
        <w:t>Oaxaca</w:t>
      </w:r>
      <w:r w:rsidRPr="00AE1DC1">
        <w:rPr>
          <w:bCs/>
        </w:rPr>
        <w:t xml:space="preserve">, </w:t>
      </w:r>
      <w:r w:rsidR="00D121DB">
        <w:rPr>
          <w:bCs/>
        </w:rPr>
        <w:t>Nuevo León</w:t>
      </w:r>
      <w:r w:rsidRPr="00AE1DC1">
        <w:rPr>
          <w:bCs/>
        </w:rPr>
        <w:t xml:space="preserve">, </w:t>
      </w:r>
      <w:r w:rsidR="00D121DB">
        <w:rPr>
          <w:bCs/>
        </w:rPr>
        <w:t>Puebla</w:t>
      </w:r>
      <w:r w:rsidR="00E82A67">
        <w:rPr>
          <w:bCs/>
        </w:rPr>
        <w:t>,</w:t>
      </w:r>
      <w:r w:rsidRPr="00AE1DC1">
        <w:rPr>
          <w:bCs/>
        </w:rPr>
        <w:t xml:space="preserve"> </w:t>
      </w:r>
      <w:r w:rsidR="00D121DB">
        <w:rPr>
          <w:bCs/>
        </w:rPr>
        <w:t>Durango</w:t>
      </w:r>
      <w:r w:rsidR="00E82A67">
        <w:rPr>
          <w:bCs/>
        </w:rPr>
        <w:t xml:space="preserve"> y Guanajuato</w:t>
      </w:r>
      <w:r w:rsidRPr="00AE1DC1">
        <w:rPr>
          <w:bCs/>
        </w:rPr>
        <w:t xml:space="preserve"> reportaron avances significativos en su actividad económica</w:t>
      </w:r>
      <w:r w:rsidR="00E23EEF" w:rsidRPr="00AE1DC1">
        <w:rPr>
          <w:bCs/>
        </w:rPr>
        <w:t xml:space="preserve"> (ver cuadro 1)</w:t>
      </w:r>
      <w:r w:rsidRPr="00AE1DC1">
        <w:rPr>
          <w:bCs/>
        </w:rPr>
        <w:t>.</w:t>
      </w:r>
    </w:p>
    <w:p w14:paraId="64BECC95" w14:textId="77777777" w:rsidR="001E2CAB" w:rsidRDefault="001E2CAB" w:rsidP="00AE1DC1">
      <w:pPr>
        <w:rPr>
          <w:bCs/>
        </w:rPr>
      </w:pPr>
    </w:p>
    <w:p w14:paraId="70DB1293" w14:textId="5EFE819A" w:rsidR="002D2065" w:rsidRDefault="002D2065" w:rsidP="00AE1DC1">
      <w:pPr>
        <w:rPr>
          <w:bCs/>
          <w:color w:val="4D565E"/>
          <w:sz w:val="20"/>
          <w:szCs w:val="18"/>
          <w:lang w:val="es-MX"/>
        </w:rPr>
      </w:pPr>
      <w:r>
        <w:rPr>
          <w:bCs/>
          <w:color w:val="4D565E"/>
          <w:sz w:val="20"/>
          <w:szCs w:val="18"/>
          <w:lang w:val="es-MX"/>
        </w:rPr>
        <w:br w:type="page"/>
      </w:r>
    </w:p>
    <w:p w14:paraId="65DA5FE6" w14:textId="7CE4CEB6" w:rsidR="00DB7806" w:rsidRPr="007F5448" w:rsidRDefault="00556340" w:rsidP="007F5448">
      <w:pPr>
        <w:pStyle w:val="p01"/>
        <w:keepNext/>
        <w:tabs>
          <w:tab w:val="center" w:pos="4987"/>
          <w:tab w:val="right" w:pos="9974"/>
        </w:tabs>
        <w:jc w:val="center"/>
        <w:rPr>
          <w:rFonts w:ascii="Arial" w:hAnsi="Arial" w:cs="Arial"/>
          <w:bCs/>
          <w:color w:val="4D565E"/>
          <w:sz w:val="20"/>
          <w:szCs w:val="18"/>
          <w:lang w:val="es-MX"/>
        </w:rPr>
      </w:pPr>
      <w:r w:rsidRPr="00E23EEF">
        <w:rPr>
          <w:rFonts w:ascii="Arial" w:hAnsi="Arial" w:cs="Arial"/>
          <w:bCs/>
          <w:color w:val="4D565E"/>
          <w:sz w:val="20"/>
          <w:szCs w:val="18"/>
          <w:lang w:val="es-MX"/>
        </w:rPr>
        <w:lastRenderedPageBreak/>
        <w:t>Cuadro</w:t>
      </w:r>
      <w:r w:rsidR="00FF7C7F" w:rsidRPr="007F5448">
        <w:rPr>
          <w:rFonts w:ascii="Arial" w:hAnsi="Arial" w:cs="Arial"/>
          <w:bCs/>
          <w:color w:val="4D565E"/>
          <w:sz w:val="20"/>
          <w:szCs w:val="18"/>
          <w:lang w:val="es-MX"/>
        </w:rPr>
        <w:t xml:space="preserve"> 1</w:t>
      </w:r>
    </w:p>
    <w:p w14:paraId="72DC978F" w14:textId="18990F09" w:rsidR="00511D6B" w:rsidRPr="008410C2" w:rsidRDefault="008410C2" w:rsidP="008410C2">
      <w:pPr>
        <w:pStyle w:val="p01"/>
        <w:keepNext/>
        <w:spacing w:before="0"/>
        <w:jc w:val="center"/>
        <w:rPr>
          <w:rFonts w:ascii="Arial Negrita" w:hAnsi="Arial Negrita" w:cs="Arial"/>
          <w:b/>
          <w:color w:val="003057"/>
          <w:sz w:val="22"/>
          <w:lang w:val="es-MX"/>
        </w:rPr>
      </w:pPr>
      <w:r>
        <w:rPr>
          <w:rFonts w:ascii="Arial Negrita" w:hAnsi="Arial Negrita" w:cs="Arial"/>
          <w:b/>
          <w:color w:val="003057"/>
          <w:sz w:val="22"/>
          <w:lang w:val="es-MX"/>
        </w:rPr>
        <w:t>V</w:t>
      </w:r>
      <w:r w:rsidR="003D2045" w:rsidRPr="008410C2">
        <w:rPr>
          <w:rFonts w:ascii="Arial Negrita" w:hAnsi="Arial Negrita" w:cs="Arial"/>
          <w:b/>
          <w:color w:val="003057"/>
          <w:sz w:val="22"/>
          <w:lang w:val="es-MX"/>
        </w:rPr>
        <w:t xml:space="preserve">ariación </w:t>
      </w:r>
      <w:r w:rsidR="00DA4961" w:rsidRPr="008410C2">
        <w:rPr>
          <w:rFonts w:ascii="Arial Negrita" w:hAnsi="Arial Negrita" w:cs="Arial"/>
          <w:b/>
          <w:color w:val="003057"/>
          <w:sz w:val="22"/>
          <w:lang w:val="es-MX"/>
        </w:rPr>
        <w:t>d</w:t>
      </w:r>
      <w:r w:rsidR="00556340" w:rsidRPr="008410C2">
        <w:rPr>
          <w:rFonts w:ascii="Arial Negrita" w:hAnsi="Arial Negrita" w:cs="Arial"/>
          <w:b/>
          <w:color w:val="003057"/>
          <w:sz w:val="22"/>
          <w:lang w:val="es-MX"/>
        </w:rPr>
        <w:t xml:space="preserve">e la </w:t>
      </w:r>
      <w:r w:rsidR="00EB58B5">
        <w:rPr>
          <w:rFonts w:ascii="Arial Negrita" w:hAnsi="Arial Negrita" w:cs="Arial"/>
          <w:b/>
          <w:color w:val="003057"/>
          <w:sz w:val="22"/>
          <w:lang w:val="es-MX"/>
        </w:rPr>
        <w:t>a</w:t>
      </w:r>
      <w:r w:rsidR="00556340" w:rsidRPr="008410C2">
        <w:rPr>
          <w:rFonts w:ascii="Arial Negrita" w:hAnsi="Arial Negrita" w:cs="Arial"/>
          <w:b/>
          <w:color w:val="003057"/>
          <w:sz w:val="22"/>
          <w:lang w:val="es-MX"/>
        </w:rPr>
        <w:t xml:space="preserve">ctividad </w:t>
      </w:r>
      <w:r w:rsidR="00EB58B5">
        <w:rPr>
          <w:rFonts w:ascii="Arial Negrita" w:hAnsi="Arial Negrita" w:cs="Arial"/>
          <w:b/>
          <w:color w:val="003057"/>
          <w:sz w:val="22"/>
          <w:lang w:val="es-MX"/>
        </w:rPr>
        <w:t>e</w:t>
      </w:r>
      <w:r w:rsidRPr="00E23EEF">
        <w:rPr>
          <w:rFonts w:ascii="Arial Negrita" w:hAnsi="Arial Negrita" w:cs="Arial"/>
          <w:b/>
          <w:color w:val="003057"/>
          <w:sz w:val="22"/>
          <w:lang w:val="es-MX"/>
        </w:rPr>
        <w:t>conómica</w:t>
      </w:r>
      <w:r>
        <w:rPr>
          <w:rFonts w:ascii="Arial Negrita" w:hAnsi="Arial Negrita" w:cs="Arial"/>
          <w:b/>
          <w:color w:val="003057"/>
          <w:sz w:val="22"/>
          <w:lang w:val="es-MX"/>
        </w:rPr>
        <w:t xml:space="preserve"> </w:t>
      </w:r>
      <w:r w:rsidR="0039422A">
        <w:rPr>
          <w:rFonts w:ascii="Arial Negrita" w:hAnsi="Arial Negrita" w:cs="Arial"/>
          <w:b/>
          <w:color w:val="003057"/>
          <w:sz w:val="22"/>
          <w:lang w:val="es-MX"/>
        </w:rPr>
        <w:t>estatal</w:t>
      </w:r>
      <w:r w:rsidR="00511D6B" w:rsidRPr="008410C2">
        <w:rPr>
          <w:rFonts w:ascii="Arial Negrita" w:hAnsi="Arial Negrita" w:cs="Arial"/>
          <w:b/>
          <w:color w:val="003057"/>
          <w:sz w:val="22"/>
          <w:lang w:val="es-MX"/>
        </w:rPr>
        <w:t xml:space="preserve"> </w:t>
      </w:r>
    </w:p>
    <w:p w14:paraId="20080469" w14:textId="1C711FA9" w:rsidR="00B44CAA" w:rsidRPr="00E23EEF" w:rsidRDefault="00A9401F" w:rsidP="008410C2">
      <w:pPr>
        <w:pStyle w:val="p01"/>
        <w:keepNext/>
        <w:spacing w:before="0"/>
        <w:jc w:val="center"/>
        <w:rPr>
          <w:rFonts w:ascii="Arial" w:hAnsi="Arial"/>
          <w:bCs/>
          <w:color w:val="000000" w:themeColor="text1"/>
          <w:sz w:val="20"/>
        </w:rPr>
      </w:pPr>
      <w:r w:rsidRPr="00E23EEF">
        <w:rPr>
          <w:rFonts w:ascii="Arial" w:hAnsi="Arial" w:cs="Arial"/>
          <w:bCs/>
          <w:color w:val="003057"/>
          <w:sz w:val="20"/>
          <w:lang w:val="es-MX"/>
        </w:rPr>
        <w:t>c</w:t>
      </w:r>
      <w:r w:rsidR="00B44CAA" w:rsidRPr="00E23EEF">
        <w:rPr>
          <w:rFonts w:ascii="Arial" w:hAnsi="Arial" w:cs="Arial"/>
          <w:bCs/>
          <w:color w:val="003057"/>
          <w:sz w:val="20"/>
          <w:lang w:val="es-MX"/>
        </w:rPr>
        <w:t>ifras desestacionalizadas</w:t>
      </w:r>
    </w:p>
    <w:p w14:paraId="13AF3BAB" w14:textId="6CD1EB61" w:rsidR="00511D6B" w:rsidRPr="005F2907" w:rsidRDefault="007B2E97" w:rsidP="00511D6B">
      <w:pPr>
        <w:widowControl w:val="0"/>
        <w:autoSpaceDE w:val="0"/>
        <w:autoSpaceDN w:val="0"/>
        <w:adjustRightInd w:val="0"/>
        <w:spacing w:before="3" w:line="225" w:lineRule="exact"/>
        <w:jc w:val="center"/>
        <w:rPr>
          <w:color w:val="27251F"/>
          <w:sz w:val="20"/>
          <w:szCs w:val="20"/>
        </w:rPr>
      </w:pPr>
      <w:r w:rsidRPr="005F2907">
        <w:rPr>
          <w:color w:val="27251F"/>
          <w:sz w:val="20"/>
          <w:szCs w:val="20"/>
        </w:rPr>
        <w:t>tercer</w:t>
      </w:r>
      <w:r w:rsidR="008410C2" w:rsidRPr="005F2907">
        <w:rPr>
          <w:color w:val="27251F"/>
          <w:sz w:val="20"/>
          <w:szCs w:val="20"/>
        </w:rPr>
        <w:t xml:space="preserve"> trimestre de </w:t>
      </w:r>
      <w:r w:rsidR="00511D6B" w:rsidRPr="005F2907">
        <w:rPr>
          <w:color w:val="27251F"/>
          <w:sz w:val="20"/>
          <w:szCs w:val="20"/>
        </w:rPr>
        <w:t>2024</w:t>
      </w:r>
    </w:p>
    <w:p w14:paraId="7EADA3BB" w14:textId="02F6C90E" w:rsidR="00801FD0" w:rsidRPr="005F2907" w:rsidRDefault="00511D6B" w:rsidP="00801FD0">
      <w:pPr>
        <w:widowControl w:val="0"/>
        <w:autoSpaceDE w:val="0"/>
        <w:autoSpaceDN w:val="0"/>
        <w:adjustRightInd w:val="0"/>
        <w:spacing w:before="3" w:line="225" w:lineRule="exact"/>
        <w:jc w:val="center"/>
        <w:rPr>
          <w:color w:val="27251F"/>
          <w:sz w:val="18"/>
          <w:szCs w:val="18"/>
        </w:rPr>
      </w:pPr>
      <w:r w:rsidRPr="005F2907">
        <w:rPr>
          <w:color w:val="27251F"/>
          <w:sz w:val="18"/>
          <w:szCs w:val="18"/>
        </w:rPr>
        <w:t>(</w:t>
      </w:r>
      <w:r w:rsidR="00095361" w:rsidRPr="005F2907">
        <w:rPr>
          <w:color w:val="27251F"/>
          <w:sz w:val="18"/>
          <w:szCs w:val="18"/>
        </w:rPr>
        <w:t>variaci</w:t>
      </w:r>
      <w:r w:rsidR="008F20A8" w:rsidRPr="005F2907">
        <w:rPr>
          <w:color w:val="27251F"/>
          <w:sz w:val="18"/>
          <w:szCs w:val="18"/>
        </w:rPr>
        <w:t>ón</w:t>
      </w:r>
      <w:r w:rsidR="00095361" w:rsidRPr="005F2907">
        <w:rPr>
          <w:color w:val="27251F"/>
          <w:sz w:val="18"/>
          <w:szCs w:val="18"/>
        </w:rPr>
        <w:t xml:space="preserve"> porcentual </w:t>
      </w:r>
      <w:r w:rsidR="00667754" w:rsidRPr="005F2907">
        <w:rPr>
          <w:color w:val="27251F"/>
          <w:sz w:val="18"/>
          <w:szCs w:val="18"/>
        </w:rPr>
        <w:t xml:space="preserve">real </w:t>
      </w:r>
      <w:r w:rsidR="008410C2" w:rsidRPr="005F2907">
        <w:rPr>
          <w:color w:val="27251F"/>
          <w:sz w:val="18"/>
          <w:szCs w:val="18"/>
        </w:rPr>
        <w:t xml:space="preserve">trimestral </w:t>
      </w:r>
      <w:r w:rsidR="007F53A8" w:rsidRPr="005F2907">
        <w:rPr>
          <w:color w:val="27251F"/>
          <w:sz w:val="18"/>
          <w:szCs w:val="18"/>
        </w:rPr>
        <w:t>y anual</w:t>
      </w:r>
      <w:r w:rsidR="008F20A8" w:rsidRPr="005F2907">
        <w:rPr>
          <w:color w:val="27251F"/>
          <w:sz w:val="18"/>
          <w:szCs w:val="18"/>
        </w:rPr>
        <w:t>)</w:t>
      </w:r>
    </w:p>
    <w:tbl>
      <w:tblPr>
        <w:tblW w:w="5003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1432"/>
        <w:gridCol w:w="1433"/>
        <w:gridCol w:w="172"/>
        <w:gridCol w:w="2005"/>
        <w:gridCol w:w="1433"/>
        <w:gridCol w:w="1433"/>
      </w:tblGrid>
      <w:tr w:rsidR="00981133" w:rsidRPr="00801FD0" w14:paraId="519D43AC" w14:textId="77777777" w:rsidTr="00981133">
        <w:trPr>
          <w:trHeight w:hRule="exact" w:val="510"/>
          <w:jc w:val="center"/>
        </w:trPr>
        <w:tc>
          <w:tcPr>
            <w:tcW w:w="2061" w:type="dxa"/>
            <w:vMerge w:val="restar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80DDD7"/>
            <w:noWrap/>
            <w:vAlign w:val="center"/>
          </w:tcPr>
          <w:p w14:paraId="21FCA7E3" w14:textId="19FA5849" w:rsidR="00981133" w:rsidRDefault="00981133" w:rsidP="00981133">
            <w:pPr>
              <w:ind w:left="57"/>
              <w:jc w:val="center"/>
              <w:rPr>
                <w:rStyle w:val="Refdecomentario"/>
                <w:rFonts w:ascii="Times New Roman" w:hAnsi="Times New Roman" w:cs="Times New Roman"/>
                <w:lang w:val="es-MX"/>
              </w:rPr>
            </w:pPr>
            <w:r w:rsidRPr="00D16C52">
              <w:rPr>
                <w:b/>
                <w:bCs/>
                <w:color w:val="27251F"/>
                <w:sz w:val="18"/>
                <w:szCs w:val="18"/>
              </w:rPr>
              <w:t>Entidad federativa</w:t>
            </w:r>
          </w:p>
        </w:tc>
        <w:tc>
          <w:tcPr>
            <w:tcW w:w="2865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80DDD7"/>
            <w:vAlign w:val="center"/>
          </w:tcPr>
          <w:p w14:paraId="3B61F930" w14:textId="29CC3D9A" w:rsidR="00981133" w:rsidRPr="00981133" w:rsidRDefault="00981133" w:rsidP="00981133">
            <w:pPr>
              <w:tabs>
                <w:tab w:val="decimal" w:pos="526"/>
              </w:tabs>
              <w:jc w:val="center"/>
              <w:rPr>
                <w:rFonts w:ascii="Arial Negrita" w:hAnsi="Arial Negrita"/>
                <w:color w:val="000000"/>
                <w:sz w:val="18"/>
                <w:szCs w:val="18"/>
              </w:rPr>
            </w:pPr>
            <w:r w:rsidRPr="00981133">
              <w:rPr>
                <w:rFonts w:ascii="Arial Negrita" w:hAnsi="Arial Negrita"/>
                <w:b/>
                <w:bCs/>
                <w:color w:val="27251F"/>
                <w:sz w:val="18"/>
                <w:szCs w:val="18"/>
              </w:rPr>
              <w:t>Variación porcentual real respecto a:</w:t>
            </w:r>
          </w:p>
        </w:tc>
        <w:tc>
          <w:tcPr>
            <w:tcW w:w="172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38A173B0" w14:textId="77777777" w:rsidR="00981133" w:rsidRPr="00820482" w:rsidRDefault="00981133" w:rsidP="008D2A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80DDD7"/>
            <w:noWrap/>
            <w:vAlign w:val="center"/>
          </w:tcPr>
          <w:p w14:paraId="24E00B32" w14:textId="0078934B" w:rsidR="00981133" w:rsidRPr="00820482" w:rsidRDefault="00981133" w:rsidP="00981133">
            <w:pPr>
              <w:ind w:left="57" w:right="-38"/>
              <w:jc w:val="center"/>
              <w:rPr>
                <w:color w:val="000000"/>
                <w:sz w:val="18"/>
                <w:szCs w:val="18"/>
              </w:rPr>
            </w:pPr>
            <w:r w:rsidRPr="00D16C52">
              <w:rPr>
                <w:b/>
                <w:bCs/>
                <w:color w:val="27251F"/>
                <w:sz w:val="18"/>
                <w:szCs w:val="18"/>
              </w:rPr>
              <w:t>Entidad federativa</w:t>
            </w:r>
          </w:p>
        </w:tc>
        <w:tc>
          <w:tcPr>
            <w:tcW w:w="2866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80DDD7"/>
            <w:vAlign w:val="center"/>
          </w:tcPr>
          <w:p w14:paraId="01FC92ED" w14:textId="3CA8333D" w:rsidR="00981133" w:rsidRDefault="00981133" w:rsidP="00981133">
            <w:pPr>
              <w:tabs>
                <w:tab w:val="decimal" w:pos="633"/>
              </w:tabs>
              <w:jc w:val="center"/>
              <w:rPr>
                <w:color w:val="000000"/>
                <w:sz w:val="18"/>
                <w:szCs w:val="18"/>
              </w:rPr>
            </w:pPr>
            <w:r w:rsidRPr="00E7466C">
              <w:rPr>
                <w:rFonts w:ascii="Arial Negrita" w:hAnsi="Arial Negrita"/>
                <w:b/>
                <w:bCs/>
                <w:color w:val="27251F"/>
                <w:sz w:val="18"/>
                <w:szCs w:val="18"/>
              </w:rPr>
              <w:t>Variación porcentual real respecto a:</w:t>
            </w:r>
          </w:p>
        </w:tc>
      </w:tr>
      <w:tr w:rsidR="00981133" w:rsidRPr="00801FD0" w14:paraId="5A1225B2" w14:textId="77777777" w:rsidTr="00981133">
        <w:trPr>
          <w:trHeight w:hRule="exact" w:val="510"/>
          <w:jc w:val="center"/>
        </w:trPr>
        <w:tc>
          <w:tcPr>
            <w:tcW w:w="2061" w:type="dxa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30995196" w14:textId="77777777" w:rsidR="00981133" w:rsidRDefault="00981133" w:rsidP="00981133">
            <w:pPr>
              <w:ind w:left="57"/>
              <w:jc w:val="left"/>
              <w:rPr>
                <w:rStyle w:val="Refdecomentario"/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143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DEDEA"/>
            <w:vAlign w:val="center"/>
          </w:tcPr>
          <w:p w14:paraId="14DE5A8C" w14:textId="76D48D22" w:rsidR="00981133" w:rsidRPr="00981133" w:rsidRDefault="00981133" w:rsidP="009811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1133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866AB1">
              <w:rPr>
                <w:b/>
                <w:bCs/>
                <w:color w:val="000000"/>
                <w:sz w:val="18"/>
                <w:szCs w:val="18"/>
              </w:rPr>
              <w:t>.</w:t>
            </w:r>
            <w:r w:rsidR="001139FD">
              <w:rPr>
                <w:b/>
                <w:bCs/>
                <w:color w:val="000000"/>
                <w:sz w:val="18"/>
                <w:szCs w:val="18"/>
              </w:rPr>
              <w:t>°</w:t>
            </w:r>
            <w:r w:rsidRPr="00981133">
              <w:rPr>
                <w:b/>
                <w:bCs/>
                <w:color w:val="000000"/>
                <w:sz w:val="18"/>
                <w:szCs w:val="18"/>
              </w:rPr>
              <w:t xml:space="preserve"> trimestre</w:t>
            </w:r>
          </w:p>
          <w:p w14:paraId="04DBB7AB" w14:textId="31446AD4" w:rsidR="00981133" w:rsidRPr="00981133" w:rsidRDefault="00981133" w:rsidP="009811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1133">
              <w:rPr>
                <w:b/>
                <w:bCs/>
                <w:color w:val="000000"/>
                <w:sz w:val="18"/>
                <w:szCs w:val="18"/>
              </w:rPr>
              <w:t>de 2024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DEDEA"/>
            <w:noWrap/>
            <w:vAlign w:val="center"/>
          </w:tcPr>
          <w:p w14:paraId="764DB5F5" w14:textId="7F51B883" w:rsidR="00981133" w:rsidRPr="00981133" w:rsidRDefault="00981133" w:rsidP="009811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1133">
              <w:rPr>
                <w:b/>
                <w:bCs/>
                <w:color w:val="000000"/>
                <w:sz w:val="18"/>
                <w:szCs w:val="18"/>
              </w:rPr>
              <w:t>3</w:t>
            </w:r>
            <w:r w:rsidR="00866AB1"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981133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er</w:t>
            </w:r>
            <w:r w:rsidRPr="00981133">
              <w:rPr>
                <w:b/>
                <w:bCs/>
                <w:color w:val="000000"/>
                <w:sz w:val="18"/>
                <w:szCs w:val="18"/>
              </w:rPr>
              <w:t xml:space="preserve"> trimestre</w:t>
            </w:r>
          </w:p>
          <w:p w14:paraId="7C21DC3B" w14:textId="1E4A81B9" w:rsidR="00981133" w:rsidRPr="00981133" w:rsidRDefault="00981133" w:rsidP="009811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81133">
              <w:rPr>
                <w:b/>
                <w:bCs/>
                <w:color w:val="000000"/>
                <w:sz w:val="18"/>
                <w:szCs w:val="18"/>
              </w:rPr>
              <w:t>de 2023</w:t>
            </w:r>
          </w:p>
        </w:tc>
        <w:tc>
          <w:tcPr>
            <w:tcW w:w="172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3A0ABDB8" w14:textId="77777777" w:rsidR="00981133" w:rsidRPr="00820482" w:rsidRDefault="00981133" w:rsidP="0098113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5" w:type="dxa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491D001A" w14:textId="77777777" w:rsidR="00981133" w:rsidRPr="00820482" w:rsidRDefault="00981133" w:rsidP="00981133">
            <w:pPr>
              <w:ind w:left="57" w:right="-38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DEDEA"/>
            <w:vAlign w:val="center"/>
          </w:tcPr>
          <w:p w14:paraId="4B00471F" w14:textId="1235E7D1" w:rsidR="00981133" w:rsidRPr="00E7466C" w:rsidRDefault="00981133" w:rsidP="009811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7466C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866AB1">
              <w:rPr>
                <w:b/>
                <w:bCs/>
                <w:color w:val="000000"/>
                <w:sz w:val="18"/>
                <w:szCs w:val="18"/>
              </w:rPr>
              <w:t>.</w:t>
            </w:r>
            <w:r w:rsidR="001139FD">
              <w:rPr>
                <w:b/>
                <w:bCs/>
                <w:color w:val="000000"/>
                <w:sz w:val="18"/>
                <w:szCs w:val="18"/>
              </w:rPr>
              <w:t>°</w:t>
            </w:r>
            <w:r w:rsidRPr="00E7466C">
              <w:rPr>
                <w:b/>
                <w:bCs/>
                <w:color w:val="000000"/>
                <w:sz w:val="18"/>
                <w:szCs w:val="18"/>
              </w:rPr>
              <w:t xml:space="preserve"> trimestre</w:t>
            </w:r>
          </w:p>
          <w:p w14:paraId="7899D17D" w14:textId="64B55A6F" w:rsidR="00981133" w:rsidRDefault="00981133" w:rsidP="00981133">
            <w:pPr>
              <w:tabs>
                <w:tab w:val="decimal" w:pos="633"/>
              </w:tabs>
              <w:jc w:val="center"/>
              <w:rPr>
                <w:color w:val="000000"/>
                <w:sz w:val="18"/>
                <w:szCs w:val="18"/>
              </w:rPr>
            </w:pPr>
            <w:r w:rsidRPr="00E7466C">
              <w:rPr>
                <w:b/>
                <w:bCs/>
                <w:color w:val="000000"/>
                <w:sz w:val="18"/>
                <w:szCs w:val="18"/>
              </w:rPr>
              <w:t>de 2024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DEDEA"/>
            <w:noWrap/>
            <w:vAlign w:val="center"/>
          </w:tcPr>
          <w:p w14:paraId="1C5B3CED" w14:textId="04D0CC4F" w:rsidR="00981133" w:rsidRPr="00E7466C" w:rsidRDefault="00981133" w:rsidP="009811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7466C">
              <w:rPr>
                <w:b/>
                <w:bCs/>
                <w:color w:val="000000"/>
                <w:sz w:val="18"/>
                <w:szCs w:val="18"/>
              </w:rPr>
              <w:t>3</w:t>
            </w:r>
            <w:r w:rsidR="00866AB1"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981133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er</w:t>
            </w:r>
            <w:r w:rsidRPr="00E7466C">
              <w:rPr>
                <w:b/>
                <w:bCs/>
                <w:color w:val="000000"/>
                <w:sz w:val="18"/>
                <w:szCs w:val="18"/>
              </w:rPr>
              <w:t xml:space="preserve"> trimestre</w:t>
            </w:r>
          </w:p>
          <w:p w14:paraId="4006A5C4" w14:textId="733D1973" w:rsidR="00981133" w:rsidRDefault="00981133" w:rsidP="00981133">
            <w:pPr>
              <w:tabs>
                <w:tab w:val="decimal" w:pos="633"/>
              </w:tabs>
              <w:jc w:val="center"/>
              <w:rPr>
                <w:color w:val="000000"/>
                <w:sz w:val="18"/>
                <w:szCs w:val="18"/>
              </w:rPr>
            </w:pPr>
            <w:r w:rsidRPr="00E7466C">
              <w:rPr>
                <w:b/>
                <w:bCs/>
                <w:color w:val="000000"/>
                <w:sz w:val="18"/>
                <w:szCs w:val="18"/>
              </w:rPr>
              <w:t>de 2023</w:t>
            </w:r>
          </w:p>
        </w:tc>
      </w:tr>
      <w:tr w:rsidR="001923D9" w:rsidRPr="00801FD0" w14:paraId="71D9D5A5" w14:textId="77777777" w:rsidTr="00981133">
        <w:trPr>
          <w:trHeight w:val="283"/>
          <w:jc w:val="center"/>
        </w:trPr>
        <w:tc>
          <w:tcPr>
            <w:tcW w:w="206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2427F890" w14:textId="77777777" w:rsidR="001923D9" w:rsidRPr="00820482" w:rsidRDefault="001923D9" w:rsidP="00FF7040">
            <w:pPr>
              <w:ind w:left="57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Aguascalientes</w:t>
            </w:r>
          </w:p>
        </w:tc>
        <w:tc>
          <w:tcPr>
            <w:tcW w:w="143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  <w:hideMark/>
          </w:tcPr>
          <w:p w14:paraId="2C7760FD" w14:textId="4A3E7B41" w:rsidR="001923D9" w:rsidRPr="00820482" w:rsidRDefault="00C949BA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7AD097FB" w14:textId="3D60B8BC" w:rsidR="001923D9" w:rsidRPr="00820482" w:rsidRDefault="001923D9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-</w:t>
            </w:r>
            <w:r w:rsidR="00C949BA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172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2F6382BA" w14:textId="77777777" w:rsidR="001923D9" w:rsidRPr="00820482" w:rsidRDefault="001923D9" w:rsidP="008D2A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179AEDDE" w14:textId="77777777" w:rsidR="001923D9" w:rsidRPr="00820482" w:rsidRDefault="001923D9" w:rsidP="00FF7040">
            <w:pPr>
              <w:ind w:left="57" w:right="-38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Morelos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2DA41E63" w14:textId="160BFD27" w:rsidR="001923D9" w:rsidRPr="00820482" w:rsidRDefault="00B15CC5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0C2E9369" w14:textId="3BA24336" w:rsidR="001923D9" w:rsidRPr="00820482" w:rsidRDefault="00B15CC5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</w:t>
            </w:r>
          </w:p>
        </w:tc>
      </w:tr>
      <w:tr w:rsidR="001923D9" w:rsidRPr="00801FD0" w14:paraId="75114B67" w14:textId="77777777" w:rsidTr="00981133">
        <w:trPr>
          <w:trHeight w:val="283"/>
          <w:jc w:val="center"/>
        </w:trPr>
        <w:tc>
          <w:tcPr>
            <w:tcW w:w="206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  <w:hideMark/>
          </w:tcPr>
          <w:p w14:paraId="4CE6051D" w14:textId="77777777" w:rsidR="001923D9" w:rsidRPr="00820482" w:rsidRDefault="001923D9" w:rsidP="00FF7040">
            <w:pPr>
              <w:ind w:left="57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Baja California</w:t>
            </w:r>
          </w:p>
        </w:tc>
        <w:tc>
          <w:tcPr>
            <w:tcW w:w="143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vAlign w:val="center"/>
            <w:hideMark/>
          </w:tcPr>
          <w:p w14:paraId="2F5F1236" w14:textId="733E0FB5" w:rsidR="001923D9" w:rsidRPr="00820482" w:rsidRDefault="00C949BA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1923D9" w:rsidRPr="00820482">
              <w:rPr>
                <w:color w:val="000000"/>
                <w:sz w:val="18"/>
                <w:szCs w:val="18"/>
              </w:rPr>
              <w:t>0.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  <w:hideMark/>
          </w:tcPr>
          <w:p w14:paraId="6D4A71F0" w14:textId="37D4C21A" w:rsidR="001923D9" w:rsidRPr="00820482" w:rsidRDefault="00C949BA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172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5C01F999" w14:textId="77777777" w:rsidR="001923D9" w:rsidRPr="00820482" w:rsidRDefault="001923D9" w:rsidP="008D2A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</w:tcPr>
          <w:p w14:paraId="52D154B2" w14:textId="77777777" w:rsidR="001923D9" w:rsidRPr="00820482" w:rsidRDefault="001923D9" w:rsidP="00FF7040">
            <w:pPr>
              <w:ind w:left="57" w:right="-38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Nayarit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vAlign w:val="center"/>
          </w:tcPr>
          <w:p w14:paraId="43AB2301" w14:textId="0C9AEDD1" w:rsidR="001923D9" w:rsidRPr="00820482" w:rsidRDefault="00970345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</w:tcPr>
          <w:p w14:paraId="176ABE40" w14:textId="18065E56" w:rsidR="001923D9" w:rsidRPr="00820482" w:rsidRDefault="00970345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-1.2</w:t>
            </w:r>
          </w:p>
        </w:tc>
      </w:tr>
      <w:tr w:rsidR="001923D9" w:rsidRPr="00801FD0" w14:paraId="7D52CE1C" w14:textId="77777777" w:rsidTr="00981133">
        <w:trPr>
          <w:trHeight w:val="283"/>
          <w:jc w:val="center"/>
        </w:trPr>
        <w:tc>
          <w:tcPr>
            <w:tcW w:w="206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3386AA6D" w14:textId="77777777" w:rsidR="001923D9" w:rsidRPr="00820482" w:rsidRDefault="001923D9" w:rsidP="00FF7040">
            <w:pPr>
              <w:ind w:left="57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Baja California Sur</w:t>
            </w:r>
          </w:p>
        </w:tc>
        <w:tc>
          <w:tcPr>
            <w:tcW w:w="143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  <w:hideMark/>
          </w:tcPr>
          <w:p w14:paraId="5044E2C0" w14:textId="157B4960" w:rsidR="001923D9" w:rsidRPr="00820482" w:rsidRDefault="00C949BA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-0.6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7DBBC0B4" w14:textId="7A83F4C7" w:rsidR="001923D9" w:rsidRPr="00820482" w:rsidRDefault="00C949BA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</w:t>
            </w:r>
          </w:p>
        </w:tc>
        <w:tc>
          <w:tcPr>
            <w:tcW w:w="172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26DCBB3E" w14:textId="77777777" w:rsidR="001923D9" w:rsidRPr="00820482" w:rsidRDefault="001923D9" w:rsidP="008D2A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7D080B1E" w14:textId="77777777" w:rsidR="001923D9" w:rsidRPr="00820482" w:rsidRDefault="001923D9" w:rsidP="00FF7040">
            <w:pPr>
              <w:ind w:left="57" w:right="-38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Nuevo León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389F76AF" w14:textId="2FEB23EA" w:rsidR="001923D9" w:rsidRPr="00820482" w:rsidRDefault="00970345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4.0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5898E9EB" w14:textId="14D18C37" w:rsidR="001923D9" w:rsidRPr="00820482" w:rsidRDefault="00970345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5.8</w:t>
            </w:r>
          </w:p>
        </w:tc>
      </w:tr>
      <w:tr w:rsidR="001923D9" w:rsidRPr="00801FD0" w14:paraId="0AD048F5" w14:textId="77777777" w:rsidTr="00981133">
        <w:trPr>
          <w:trHeight w:val="283"/>
          <w:jc w:val="center"/>
        </w:trPr>
        <w:tc>
          <w:tcPr>
            <w:tcW w:w="206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  <w:hideMark/>
          </w:tcPr>
          <w:p w14:paraId="6CB9FE08" w14:textId="77777777" w:rsidR="001923D9" w:rsidRPr="00820482" w:rsidRDefault="001923D9" w:rsidP="00FF7040">
            <w:pPr>
              <w:ind w:left="57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Campeche</w:t>
            </w:r>
          </w:p>
        </w:tc>
        <w:tc>
          <w:tcPr>
            <w:tcW w:w="143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vAlign w:val="center"/>
            <w:hideMark/>
          </w:tcPr>
          <w:p w14:paraId="36536E78" w14:textId="2F2568B6" w:rsidR="001923D9" w:rsidRPr="00820482" w:rsidRDefault="001923D9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-</w:t>
            </w:r>
            <w:r w:rsidR="00C949BA">
              <w:rPr>
                <w:color w:val="000000"/>
                <w:sz w:val="18"/>
                <w:szCs w:val="18"/>
              </w:rPr>
              <w:t>5.1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  <w:hideMark/>
          </w:tcPr>
          <w:p w14:paraId="39C1CB49" w14:textId="097CA1B1" w:rsidR="001923D9" w:rsidRPr="00820482" w:rsidRDefault="001923D9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-</w:t>
            </w:r>
            <w:r w:rsidR="00C949BA">
              <w:rPr>
                <w:color w:val="000000"/>
                <w:sz w:val="18"/>
                <w:szCs w:val="18"/>
              </w:rPr>
              <w:t>10.4</w:t>
            </w:r>
          </w:p>
        </w:tc>
        <w:tc>
          <w:tcPr>
            <w:tcW w:w="172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5AA07341" w14:textId="77777777" w:rsidR="001923D9" w:rsidRPr="00820482" w:rsidRDefault="001923D9" w:rsidP="008D2A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</w:tcPr>
          <w:p w14:paraId="5872663E" w14:textId="77777777" w:rsidR="001923D9" w:rsidRPr="00820482" w:rsidRDefault="001923D9" w:rsidP="00FF7040">
            <w:pPr>
              <w:ind w:left="57" w:right="-38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Oaxaca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vAlign w:val="center"/>
          </w:tcPr>
          <w:p w14:paraId="37C94C5D" w14:textId="1009602B" w:rsidR="001923D9" w:rsidRPr="00820482" w:rsidRDefault="00970345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1923D9" w:rsidRPr="00820482">
              <w:rPr>
                <w:color w:val="000000"/>
                <w:sz w:val="18"/>
                <w:szCs w:val="18"/>
              </w:rPr>
              <w:t>.7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</w:tcPr>
          <w:p w14:paraId="40835E95" w14:textId="3C8681B8" w:rsidR="001923D9" w:rsidRPr="00820482" w:rsidRDefault="00970345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</w:t>
            </w:r>
          </w:p>
        </w:tc>
      </w:tr>
      <w:tr w:rsidR="001923D9" w:rsidRPr="00D44C00" w14:paraId="4E9564ED" w14:textId="77777777" w:rsidTr="00981133">
        <w:trPr>
          <w:trHeight w:val="283"/>
          <w:jc w:val="center"/>
        </w:trPr>
        <w:tc>
          <w:tcPr>
            <w:tcW w:w="206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738B95C6" w14:textId="77777777" w:rsidR="001923D9" w:rsidRPr="00820482" w:rsidRDefault="001923D9" w:rsidP="00FF7040">
            <w:pPr>
              <w:ind w:left="57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Coahuila de Zaragoza</w:t>
            </w:r>
          </w:p>
        </w:tc>
        <w:tc>
          <w:tcPr>
            <w:tcW w:w="143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  <w:hideMark/>
          </w:tcPr>
          <w:p w14:paraId="4CFDC4AA" w14:textId="6C43CC03" w:rsidR="001923D9" w:rsidRPr="00820482" w:rsidRDefault="001923D9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-</w:t>
            </w:r>
            <w:r w:rsidR="00C949BA">
              <w:rPr>
                <w:color w:val="000000"/>
                <w:sz w:val="18"/>
                <w:szCs w:val="18"/>
              </w:rPr>
              <w:t>0.7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3E6E91CA" w14:textId="2DA135E2" w:rsidR="001923D9" w:rsidRPr="00820482" w:rsidRDefault="00C949BA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172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32DBB8AB" w14:textId="77777777" w:rsidR="001923D9" w:rsidRPr="00820482" w:rsidRDefault="001923D9" w:rsidP="008D2A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32483A22" w14:textId="77777777" w:rsidR="001923D9" w:rsidRPr="00820482" w:rsidRDefault="001923D9" w:rsidP="00FF7040">
            <w:pPr>
              <w:ind w:left="57" w:right="-38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Puebla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17EB052B" w14:textId="1090D62D" w:rsidR="001923D9" w:rsidRPr="00820482" w:rsidRDefault="00F66009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2E31FBCB" w14:textId="4BA54206" w:rsidR="001923D9" w:rsidRPr="00820482" w:rsidRDefault="00F66009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</w:t>
            </w:r>
          </w:p>
        </w:tc>
      </w:tr>
      <w:tr w:rsidR="001923D9" w:rsidRPr="00D44C00" w14:paraId="30FC74E8" w14:textId="77777777" w:rsidTr="00981133">
        <w:trPr>
          <w:trHeight w:val="283"/>
          <w:jc w:val="center"/>
        </w:trPr>
        <w:tc>
          <w:tcPr>
            <w:tcW w:w="206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  <w:hideMark/>
          </w:tcPr>
          <w:p w14:paraId="544DAB31" w14:textId="77777777" w:rsidR="001923D9" w:rsidRPr="00820482" w:rsidRDefault="001923D9" w:rsidP="00FF7040">
            <w:pPr>
              <w:ind w:left="57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Colima</w:t>
            </w:r>
          </w:p>
        </w:tc>
        <w:tc>
          <w:tcPr>
            <w:tcW w:w="143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vAlign w:val="center"/>
            <w:hideMark/>
          </w:tcPr>
          <w:p w14:paraId="42AD6180" w14:textId="36FDF75F" w:rsidR="001923D9" w:rsidRPr="00820482" w:rsidRDefault="00C949BA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-1.3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  <w:hideMark/>
          </w:tcPr>
          <w:p w14:paraId="10823828" w14:textId="6B81E332" w:rsidR="001923D9" w:rsidRPr="00820482" w:rsidRDefault="001923D9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2.</w:t>
            </w:r>
            <w:r w:rsidR="00C949BA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2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6EB10309" w14:textId="77777777" w:rsidR="001923D9" w:rsidRPr="00820482" w:rsidRDefault="001923D9" w:rsidP="008D2A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</w:tcPr>
          <w:p w14:paraId="17CE6C6E" w14:textId="77777777" w:rsidR="001923D9" w:rsidRPr="00820482" w:rsidRDefault="001923D9" w:rsidP="00FF7040">
            <w:pPr>
              <w:ind w:left="57" w:right="-38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Querétaro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vAlign w:val="center"/>
          </w:tcPr>
          <w:p w14:paraId="65226AAF" w14:textId="7ADE143D" w:rsidR="001923D9" w:rsidRPr="00820482" w:rsidRDefault="00F66009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</w:tcPr>
          <w:p w14:paraId="7463BAA6" w14:textId="24E94099" w:rsidR="001923D9" w:rsidRPr="00820482" w:rsidRDefault="00F66009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</w:t>
            </w:r>
          </w:p>
        </w:tc>
      </w:tr>
      <w:tr w:rsidR="001923D9" w:rsidRPr="00D44C00" w14:paraId="27EBB602" w14:textId="77777777" w:rsidTr="00981133">
        <w:trPr>
          <w:trHeight w:val="283"/>
          <w:jc w:val="center"/>
        </w:trPr>
        <w:tc>
          <w:tcPr>
            <w:tcW w:w="206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601DB2D5" w14:textId="77777777" w:rsidR="001923D9" w:rsidRPr="00820482" w:rsidRDefault="001923D9" w:rsidP="00FF7040">
            <w:pPr>
              <w:ind w:left="57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Chiapas</w:t>
            </w:r>
          </w:p>
        </w:tc>
        <w:tc>
          <w:tcPr>
            <w:tcW w:w="143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  <w:hideMark/>
          </w:tcPr>
          <w:p w14:paraId="6E628B50" w14:textId="42C3A7E7" w:rsidR="001923D9" w:rsidRPr="00820482" w:rsidRDefault="00C949BA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55877884" w14:textId="29A3FE55" w:rsidR="001923D9" w:rsidRPr="00820482" w:rsidRDefault="00C949BA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</w:t>
            </w:r>
          </w:p>
        </w:tc>
        <w:tc>
          <w:tcPr>
            <w:tcW w:w="172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492754EA" w14:textId="77777777" w:rsidR="001923D9" w:rsidRPr="00820482" w:rsidRDefault="001923D9" w:rsidP="008D2A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04F1839B" w14:textId="32B5C984" w:rsidR="001923D9" w:rsidRPr="00820482" w:rsidRDefault="001923D9" w:rsidP="00FF7040">
            <w:pPr>
              <w:ind w:left="57" w:right="-38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Quintana Roo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405288AE" w14:textId="32424260" w:rsidR="001923D9" w:rsidRPr="00820482" w:rsidRDefault="001923D9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-</w:t>
            </w:r>
            <w:r w:rsidR="00531BAF">
              <w:rPr>
                <w:color w:val="000000"/>
                <w:sz w:val="18"/>
                <w:szCs w:val="18"/>
              </w:rPr>
              <w:t>2.4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39525DF8" w14:textId="723E8E64" w:rsidR="001923D9" w:rsidRPr="00820482" w:rsidRDefault="001923D9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-</w:t>
            </w:r>
            <w:r w:rsidR="00531BAF">
              <w:rPr>
                <w:color w:val="000000"/>
                <w:sz w:val="18"/>
                <w:szCs w:val="18"/>
              </w:rPr>
              <w:t>13.4</w:t>
            </w:r>
          </w:p>
        </w:tc>
      </w:tr>
      <w:tr w:rsidR="001923D9" w:rsidRPr="00D44C00" w14:paraId="2E896EB2" w14:textId="77777777" w:rsidTr="00981133">
        <w:trPr>
          <w:trHeight w:val="283"/>
          <w:jc w:val="center"/>
        </w:trPr>
        <w:tc>
          <w:tcPr>
            <w:tcW w:w="206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  <w:hideMark/>
          </w:tcPr>
          <w:p w14:paraId="18B22613" w14:textId="77777777" w:rsidR="001923D9" w:rsidRPr="00820482" w:rsidRDefault="001923D9" w:rsidP="00FF7040">
            <w:pPr>
              <w:ind w:left="57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Chihuahua</w:t>
            </w:r>
          </w:p>
        </w:tc>
        <w:tc>
          <w:tcPr>
            <w:tcW w:w="143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vAlign w:val="center"/>
            <w:hideMark/>
          </w:tcPr>
          <w:p w14:paraId="056B54FD" w14:textId="7E0F710F" w:rsidR="001923D9" w:rsidRPr="00820482" w:rsidRDefault="00C949BA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  <w:hideMark/>
          </w:tcPr>
          <w:p w14:paraId="01A8163A" w14:textId="53E41175" w:rsidR="001923D9" w:rsidRPr="00820482" w:rsidRDefault="00C949BA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2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286957E8" w14:textId="77777777" w:rsidR="001923D9" w:rsidRPr="00820482" w:rsidRDefault="001923D9" w:rsidP="008D2A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</w:tcPr>
          <w:p w14:paraId="6C5E38E5" w14:textId="77777777" w:rsidR="001923D9" w:rsidRPr="00820482" w:rsidRDefault="001923D9" w:rsidP="00FF7040">
            <w:pPr>
              <w:ind w:left="57" w:right="-38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San Luis Potosí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vAlign w:val="center"/>
          </w:tcPr>
          <w:p w14:paraId="75B997D2" w14:textId="76F49AAA" w:rsidR="001923D9" w:rsidRPr="00820482" w:rsidRDefault="00A501FA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</w:tcPr>
          <w:p w14:paraId="6C0247CD" w14:textId="47605587" w:rsidR="001923D9" w:rsidRPr="00820482" w:rsidRDefault="001923D9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-</w:t>
            </w:r>
            <w:r w:rsidR="00A501FA">
              <w:rPr>
                <w:color w:val="000000"/>
                <w:sz w:val="18"/>
                <w:szCs w:val="18"/>
              </w:rPr>
              <w:t>1.1</w:t>
            </w:r>
          </w:p>
        </w:tc>
      </w:tr>
      <w:tr w:rsidR="001923D9" w:rsidRPr="00D44C00" w14:paraId="1939E1C2" w14:textId="77777777" w:rsidTr="00981133">
        <w:trPr>
          <w:trHeight w:val="283"/>
          <w:jc w:val="center"/>
        </w:trPr>
        <w:tc>
          <w:tcPr>
            <w:tcW w:w="206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696879CE" w14:textId="77777777" w:rsidR="001923D9" w:rsidRPr="00820482" w:rsidRDefault="001923D9" w:rsidP="00FF7040">
            <w:pPr>
              <w:ind w:left="57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Ciudad de México</w:t>
            </w:r>
          </w:p>
        </w:tc>
        <w:tc>
          <w:tcPr>
            <w:tcW w:w="143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  <w:hideMark/>
          </w:tcPr>
          <w:p w14:paraId="6815B730" w14:textId="459C0A33" w:rsidR="001923D9" w:rsidRPr="00820482" w:rsidRDefault="00C949BA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  <w:hideMark/>
          </w:tcPr>
          <w:p w14:paraId="2421A719" w14:textId="5EBABED6" w:rsidR="001923D9" w:rsidRPr="00820482" w:rsidRDefault="00C949BA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172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3A142AD2" w14:textId="77777777" w:rsidR="001923D9" w:rsidRPr="00820482" w:rsidRDefault="001923D9" w:rsidP="008D2A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32BB91BB" w14:textId="77777777" w:rsidR="001923D9" w:rsidRPr="00820482" w:rsidRDefault="001923D9" w:rsidP="00FF7040">
            <w:pPr>
              <w:ind w:left="57" w:right="-38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Sinaloa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60D28BCC" w14:textId="7AC8E61F" w:rsidR="001923D9" w:rsidRPr="00820482" w:rsidRDefault="00A501FA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0849FB49" w14:textId="2849779F" w:rsidR="001923D9" w:rsidRPr="00820482" w:rsidRDefault="00A501FA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</w:tr>
      <w:tr w:rsidR="001923D9" w:rsidRPr="00D44C00" w14:paraId="109374F9" w14:textId="77777777" w:rsidTr="00981133">
        <w:trPr>
          <w:trHeight w:val="283"/>
          <w:jc w:val="center"/>
        </w:trPr>
        <w:tc>
          <w:tcPr>
            <w:tcW w:w="206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  <w:hideMark/>
          </w:tcPr>
          <w:p w14:paraId="5C9698D4" w14:textId="77777777" w:rsidR="001923D9" w:rsidRPr="00820482" w:rsidRDefault="001923D9" w:rsidP="00FF7040">
            <w:pPr>
              <w:ind w:left="57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Durango</w:t>
            </w:r>
          </w:p>
        </w:tc>
        <w:tc>
          <w:tcPr>
            <w:tcW w:w="143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vAlign w:val="center"/>
            <w:hideMark/>
          </w:tcPr>
          <w:p w14:paraId="1871F68D" w14:textId="6FC734A7" w:rsidR="001923D9" w:rsidRPr="00820482" w:rsidRDefault="001923D9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-</w:t>
            </w:r>
            <w:r w:rsidR="00C949BA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  <w:hideMark/>
          </w:tcPr>
          <w:p w14:paraId="670C4A86" w14:textId="147225FD" w:rsidR="001923D9" w:rsidRPr="00820482" w:rsidRDefault="00C949BA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5.3</w:t>
            </w:r>
          </w:p>
        </w:tc>
        <w:tc>
          <w:tcPr>
            <w:tcW w:w="172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5D93E592" w14:textId="77777777" w:rsidR="001923D9" w:rsidRPr="00820482" w:rsidRDefault="001923D9" w:rsidP="008D2A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</w:tcPr>
          <w:p w14:paraId="0DDB0BA7" w14:textId="77777777" w:rsidR="001923D9" w:rsidRPr="00820482" w:rsidRDefault="001923D9" w:rsidP="00FF7040">
            <w:pPr>
              <w:ind w:left="57" w:right="-38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Sonora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vAlign w:val="center"/>
          </w:tcPr>
          <w:p w14:paraId="275AB194" w14:textId="56DCCB29" w:rsidR="001923D9" w:rsidRPr="00820482" w:rsidRDefault="00A501FA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</w:tcPr>
          <w:p w14:paraId="5D5B3F2C" w14:textId="1D477038" w:rsidR="001923D9" w:rsidRPr="00820482" w:rsidRDefault="00A501FA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-0.4</w:t>
            </w:r>
          </w:p>
        </w:tc>
      </w:tr>
      <w:tr w:rsidR="001923D9" w:rsidRPr="00D44C00" w14:paraId="0852FC36" w14:textId="77777777" w:rsidTr="00981133">
        <w:trPr>
          <w:trHeight w:val="283"/>
          <w:jc w:val="center"/>
        </w:trPr>
        <w:tc>
          <w:tcPr>
            <w:tcW w:w="206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noWrap/>
            <w:vAlign w:val="center"/>
          </w:tcPr>
          <w:p w14:paraId="03FB1CD9" w14:textId="77777777" w:rsidR="001923D9" w:rsidRPr="00820482" w:rsidRDefault="001923D9" w:rsidP="00FF7040">
            <w:pPr>
              <w:ind w:left="57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Guanajuato</w:t>
            </w:r>
          </w:p>
        </w:tc>
        <w:tc>
          <w:tcPr>
            <w:tcW w:w="143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38E60A3" w14:textId="5113D3E2" w:rsidR="001923D9" w:rsidRPr="00820482" w:rsidRDefault="00FA68B5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FFFFF" w:themeFill="background1"/>
            <w:noWrap/>
            <w:vAlign w:val="center"/>
          </w:tcPr>
          <w:p w14:paraId="181E22B6" w14:textId="224399E1" w:rsidR="001923D9" w:rsidRPr="00820482" w:rsidRDefault="00FA68B5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1923D9" w:rsidRPr="00820482">
              <w:rPr>
                <w:color w:val="000000"/>
                <w:sz w:val="18"/>
                <w:szCs w:val="18"/>
              </w:rPr>
              <w:t>.3</w:t>
            </w:r>
          </w:p>
        </w:tc>
        <w:tc>
          <w:tcPr>
            <w:tcW w:w="172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57265D42" w14:textId="77777777" w:rsidR="001923D9" w:rsidRPr="00820482" w:rsidRDefault="001923D9" w:rsidP="008D2A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75D48F34" w14:textId="77777777" w:rsidR="001923D9" w:rsidRPr="00820482" w:rsidRDefault="001923D9" w:rsidP="00FF7040">
            <w:pPr>
              <w:ind w:left="57" w:right="-38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Tabasco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7686C31C" w14:textId="2C44FD49" w:rsidR="001923D9" w:rsidRPr="00820482" w:rsidRDefault="001923D9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-</w:t>
            </w:r>
            <w:r w:rsidR="00A501FA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2AF807E1" w14:textId="534E398F" w:rsidR="001923D9" w:rsidRPr="00820482" w:rsidRDefault="001923D9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-</w:t>
            </w:r>
            <w:r w:rsidR="00A501FA">
              <w:rPr>
                <w:color w:val="000000"/>
                <w:sz w:val="18"/>
                <w:szCs w:val="18"/>
              </w:rPr>
              <w:t>6.9</w:t>
            </w:r>
          </w:p>
        </w:tc>
      </w:tr>
      <w:tr w:rsidR="001923D9" w:rsidRPr="00D44C00" w14:paraId="518317BF" w14:textId="77777777" w:rsidTr="00981133">
        <w:trPr>
          <w:trHeight w:val="283"/>
          <w:jc w:val="center"/>
        </w:trPr>
        <w:tc>
          <w:tcPr>
            <w:tcW w:w="206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</w:tcPr>
          <w:p w14:paraId="72A2634E" w14:textId="77777777" w:rsidR="001923D9" w:rsidRPr="00820482" w:rsidRDefault="001923D9" w:rsidP="00FF7040">
            <w:pPr>
              <w:ind w:left="57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Guerrero</w:t>
            </w:r>
          </w:p>
        </w:tc>
        <w:tc>
          <w:tcPr>
            <w:tcW w:w="143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vAlign w:val="center"/>
          </w:tcPr>
          <w:p w14:paraId="5AC8904F" w14:textId="5177898C" w:rsidR="001923D9" w:rsidRPr="00820482" w:rsidRDefault="00D423BC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</w:tcPr>
          <w:p w14:paraId="5B5512F8" w14:textId="3F9CCF11" w:rsidR="001923D9" w:rsidRPr="00820482" w:rsidRDefault="00D423BC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172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69C59FFD" w14:textId="77777777" w:rsidR="001923D9" w:rsidRPr="00820482" w:rsidRDefault="001923D9" w:rsidP="008D2A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</w:tcPr>
          <w:p w14:paraId="5D979C54" w14:textId="77777777" w:rsidR="001923D9" w:rsidRPr="00820482" w:rsidRDefault="001923D9" w:rsidP="00FF7040">
            <w:pPr>
              <w:ind w:left="57" w:right="-38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Tamaulipas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vAlign w:val="center"/>
          </w:tcPr>
          <w:p w14:paraId="1C55202E" w14:textId="3D1C12B6" w:rsidR="001923D9" w:rsidRPr="00820482" w:rsidRDefault="007B30B8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</w:tcPr>
          <w:p w14:paraId="08C03A23" w14:textId="1C0ED7AC" w:rsidR="001923D9" w:rsidRPr="00820482" w:rsidRDefault="007B30B8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</w:t>
            </w:r>
          </w:p>
        </w:tc>
      </w:tr>
      <w:tr w:rsidR="001923D9" w:rsidRPr="00D44C00" w14:paraId="77B90879" w14:textId="77777777" w:rsidTr="002577AD">
        <w:trPr>
          <w:trHeight w:val="283"/>
          <w:jc w:val="center"/>
        </w:trPr>
        <w:tc>
          <w:tcPr>
            <w:tcW w:w="206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2D32DBB8" w14:textId="77777777" w:rsidR="001923D9" w:rsidRPr="00820482" w:rsidRDefault="001923D9" w:rsidP="00FF7040">
            <w:pPr>
              <w:ind w:left="57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Hidalgo</w:t>
            </w:r>
          </w:p>
        </w:tc>
        <w:tc>
          <w:tcPr>
            <w:tcW w:w="143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1323F9D0" w14:textId="1C0FA59C" w:rsidR="001923D9" w:rsidRPr="00820482" w:rsidRDefault="007F41CB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5.9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66335D7A" w14:textId="235372BF" w:rsidR="001923D9" w:rsidRPr="00820482" w:rsidRDefault="007F41CB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</w:t>
            </w:r>
          </w:p>
        </w:tc>
        <w:tc>
          <w:tcPr>
            <w:tcW w:w="172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5B960502" w14:textId="77777777" w:rsidR="001923D9" w:rsidRPr="00820482" w:rsidRDefault="001923D9" w:rsidP="008D2A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254B08F3" w14:textId="77777777" w:rsidR="001923D9" w:rsidRPr="00820482" w:rsidRDefault="001923D9" w:rsidP="00FF7040">
            <w:pPr>
              <w:ind w:left="57" w:right="-38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Tlaxcala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4AA32958" w14:textId="0137A16B" w:rsidR="001923D9" w:rsidRPr="00820482" w:rsidRDefault="005A08EF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-0.6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7075F15A" w14:textId="5C8198AB" w:rsidR="001923D9" w:rsidRPr="00820482" w:rsidRDefault="005A08EF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</w:tr>
      <w:tr w:rsidR="001923D9" w:rsidRPr="00D44C00" w14:paraId="55EDDC7C" w14:textId="77777777" w:rsidTr="00981133">
        <w:trPr>
          <w:trHeight w:val="283"/>
          <w:jc w:val="center"/>
        </w:trPr>
        <w:tc>
          <w:tcPr>
            <w:tcW w:w="206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</w:tcPr>
          <w:p w14:paraId="1086F0B0" w14:textId="77777777" w:rsidR="001923D9" w:rsidRPr="00820482" w:rsidRDefault="001923D9" w:rsidP="00FF7040">
            <w:pPr>
              <w:ind w:left="57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Jalisco</w:t>
            </w:r>
          </w:p>
        </w:tc>
        <w:tc>
          <w:tcPr>
            <w:tcW w:w="143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vAlign w:val="center"/>
          </w:tcPr>
          <w:p w14:paraId="23CC449D" w14:textId="02E5869F" w:rsidR="001923D9" w:rsidRPr="00820482" w:rsidRDefault="001923D9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-0.</w:t>
            </w:r>
            <w:r w:rsidR="007F41C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</w:tcPr>
          <w:p w14:paraId="6E71091C" w14:textId="71CFB176" w:rsidR="001923D9" w:rsidRPr="00820482" w:rsidRDefault="007F41CB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</w:t>
            </w:r>
          </w:p>
        </w:tc>
        <w:tc>
          <w:tcPr>
            <w:tcW w:w="172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01775B5B" w14:textId="77777777" w:rsidR="001923D9" w:rsidRPr="00820482" w:rsidRDefault="001923D9" w:rsidP="008D2A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</w:tcPr>
          <w:p w14:paraId="5AF85FFD" w14:textId="77777777" w:rsidR="001923D9" w:rsidRPr="00820482" w:rsidRDefault="001923D9" w:rsidP="00FF7040">
            <w:pPr>
              <w:ind w:left="57" w:right="-38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 xml:space="preserve">Veracruz de Ignacio de la Llave 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vAlign w:val="center"/>
          </w:tcPr>
          <w:p w14:paraId="05875404" w14:textId="569392A1" w:rsidR="001923D9" w:rsidRPr="00820482" w:rsidRDefault="00FD028C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</w:tcPr>
          <w:p w14:paraId="33AED9FF" w14:textId="7876B328" w:rsidR="001923D9" w:rsidRPr="00820482" w:rsidRDefault="00FD028C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</w:t>
            </w:r>
          </w:p>
        </w:tc>
      </w:tr>
      <w:tr w:rsidR="001923D9" w:rsidRPr="00D44C00" w14:paraId="54254E69" w14:textId="77777777" w:rsidTr="002577AD">
        <w:trPr>
          <w:trHeight w:val="283"/>
          <w:jc w:val="center"/>
        </w:trPr>
        <w:tc>
          <w:tcPr>
            <w:tcW w:w="206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21305A83" w14:textId="77777777" w:rsidR="001923D9" w:rsidRPr="00820482" w:rsidRDefault="001923D9" w:rsidP="00FF7040">
            <w:pPr>
              <w:ind w:left="57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México</w:t>
            </w:r>
          </w:p>
        </w:tc>
        <w:tc>
          <w:tcPr>
            <w:tcW w:w="143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570D28C8" w14:textId="24C13533" w:rsidR="001923D9" w:rsidRPr="00820482" w:rsidRDefault="007F41CB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2EE26EA7" w14:textId="7660D41A" w:rsidR="001923D9" w:rsidRPr="00820482" w:rsidRDefault="007F41CB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</w:t>
            </w:r>
          </w:p>
        </w:tc>
        <w:tc>
          <w:tcPr>
            <w:tcW w:w="172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3FBBC905" w14:textId="77777777" w:rsidR="001923D9" w:rsidRPr="00820482" w:rsidRDefault="001923D9" w:rsidP="008D2A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221BA22E" w14:textId="77777777" w:rsidR="001923D9" w:rsidRPr="00820482" w:rsidRDefault="001923D9" w:rsidP="00FF7040">
            <w:pPr>
              <w:ind w:left="57" w:right="-38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Yucatán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19297EA1" w14:textId="2F55276B" w:rsidR="001923D9" w:rsidRPr="00820482" w:rsidRDefault="00356B21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noWrap/>
            <w:vAlign w:val="center"/>
          </w:tcPr>
          <w:p w14:paraId="67EB97A4" w14:textId="787B3616" w:rsidR="001923D9" w:rsidRPr="00820482" w:rsidRDefault="00356B21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2.5</w:t>
            </w:r>
          </w:p>
        </w:tc>
      </w:tr>
      <w:tr w:rsidR="001923D9" w:rsidRPr="00D44C00" w14:paraId="025695CC" w14:textId="77777777" w:rsidTr="00981133">
        <w:trPr>
          <w:trHeight w:val="283"/>
          <w:jc w:val="center"/>
        </w:trPr>
        <w:tc>
          <w:tcPr>
            <w:tcW w:w="2061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</w:tcPr>
          <w:p w14:paraId="363DF833" w14:textId="77777777" w:rsidR="001923D9" w:rsidRPr="00820482" w:rsidRDefault="001923D9" w:rsidP="00FF7040">
            <w:pPr>
              <w:ind w:left="57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 xml:space="preserve">Michoacán de Ocampo </w:t>
            </w:r>
          </w:p>
        </w:tc>
        <w:tc>
          <w:tcPr>
            <w:tcW w:w="143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vAlign w:val="center"/>
          </w:tcPr>
          <w:p w14:paraId="02677F25" w14:textId="5CF588C6" w:rsidR="001923D9" w:rsidRPr="00820482" w:rsidRDefault="007F41CB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1.0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</w:tcPr>
          <w:p w14:paraId="57854DE9" w14:textId="73310A29" w:rsidR="001923D9" w:rsidRPr="00820482" w:rsidRDefault="007F41CB" w:rsidP="008D2ADC">
            <w:pPr>
              <w:tabs>
                <w:tab w:val="decimal" w:pos="52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</w:t>
            </w:r>
          </w:p>
        </w:tc>
        <w:tc>
          <w:tcPr>
            <w:tcW w:w="172" w:type="dxa"/>
            <w:tcBorders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300AC894" w14:textId="77777777" w:rsidR="001923D9" w:rsidRPr="00820482" w:rsidRDefault="001923D9" w:rsidP="008D2A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5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</w:tcPr>
          <w:p w14:paraId="28BD9395" w14:textId="77777777" w:rsidR="001923D9" w:rsidRPr="00820482" w:rsidRDefault="001923D9" w:rsidP="00FF7040">
            <w:pPr>
              <w:ind w:left="57" w:right="-38"/>
              <w:jc w:val="left"/>
              <w:rPr>
                <w:color w:val="000000"/>
                <w:sz w:val="18"/>
                <w:szCs w:val="18"/>
              </w:rPr>
            </w:pPr>
            <w:r w:rsidRPr="00820482">
              <w:rPr>
                <w:color w:val="000000"/>
                <w:sz w:val="18"/>
                <w:szCs w:val="18"/>
              </w:rPr>
              <w:t>Zacatecas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vAlign w:val="center"/>
          </w:tcPr>
          <w:p w14:paraId="0BD38F5A" w14:textId="38B7778A" w:rsidR="001923D9" w:rsidRPr="00820482" w:rsidRDefault="00356B21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143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/>
            <w:noWrap/>
            <w:vAlign w:val="center"/>
          </w:tcPr>
          <w:p w14:paraId="4E2F2977" w14:textId="556FBA76" w:rsidR="001923D9" w:rsidRPr="00820482" w:rsidRDefault="00356B21" w:rsidP="008D2ADC">
            <w:pPr>
              <w:tabs>
                <w:tab w:val="decimal" w:pos="633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7.5</w:t>
            </w:r>
          </w:p>
        </w:tc>
      </w:tr>
    </w:tbl>
    <w:p w14:paraId="4EBD653C" w14:textId="77777777" w:rsidR="001923D9" w:rsidRDefault="001923D9" w:rsidP="001923D9">
      <w:pPr>
        <w:autoSpaceDE w:val="0"/>
        <w:autoSpaceDN w:val="0"/>
        <w:adjustRightInd w:val="0"/>
        <w:ind w:left="714" w:right="193" w:hanging="616"/>
        <w:rPr>
          <w:color w:val="4D565E"/>
          <w:sz w:val="16"/>
          <w:szCs w:val="16"/>
          <w:lang w:val="es-ES"/>
        </w:rPr>
      </w:pPr>
      <w:r w:rsidRPr="00500F20">
        <w:rPr>
          <w:color w:val="4D565E"/>
          <w:sz w:val="16"/>
          <w:szCs w:val="16"/>
          <w:lang w:val="es-ES"/>
        </w:rPr>
        <w:t>Nota:</w:t>
      </w:r>
      <w:r w:rsidRPr="00500F20">
        <w:rPr>
          <w:color w:val="4D565E"/>
          <w:sz w:val="16"/>
          <w:szCs w:val="16"/>
          <w:lang w:val="es-ES"/>
        </w:rPr>
        <w:tab/>
      </w:r>
      <w:r>
        <w:rPr>
          <w:color w:val="4D565E"/>
          <w:sz w:val="16"/>
          <w:szCs w:val="16"/>
        </w:rPr>
        <w:t>Cifras</w:t>
      </w:r>
      <w:r w:rsidRPr="00500F20">
        <w:rPr>
          <w:color w:val="4D565E"/>
          <w:sz w:val="16"/>
          <w:szCs w:val="16"/>
        </w:rPr>
        <w:t xml:space="preserve"> elaboradas mediante métodos econométricos</w:t>
      </w:r>
      <w:r>
        <w:rPr>
          <w:color w:val="4D565E"/>
          <w:sz w:val="16"/>
          <w:szCs w:val="16"/>
        </w:rPr>
        <w:t>.</w:t>
      </w:r>
    </w:p>
    <w:p w14:paraId="6476376D" w14:textId="275A9D48" w:rsidR="001923D9" w:rsidRDefault="001923D9" w:rsidP="001923D9">
      <w:pPr>
        <w:autoSpaceDE w:val="0"/>
        <w:autoSpaceDN w:val="0"/>
        <w:adjustRightInd w:val="0"/>
        <w:ind w:left="714" w:right="193" w:hanging="616"/>
        <w:rPr>
          <w:color w:val="27251F"/>
          <w:sz w:val="18"/>
          <w:szCs w:val="18"/>
        </w:rPr>
      </w:pPr>
      <w:r w:rsidRPr="00BD50CA">
        <w:rPr>
          <w:color w:val="4D565E"/>
          <w:sz w:val="16"/>
          <w:szCs w:val="16"/>
          <w:lang w:val="es-ES"/>
        </w:rPr>
        <w:t>Fuente:</w:t>
      </w:r>
      <w:r w:rsidRPr="00BD50CA">
        <w:rPr>
          <w:color w:val="4D565E"/>
        </w:rPr>
        <w:tab/>
      </w:r>
      <w:r w:rsidRPr="00BD50CA">
        <w:rPr>
          <w:smallCaps/>
          <w:color w:val="4D565E"/>
          <w:sz w:val="16"/>
          <w:szCs w:val="16"/>
          <w:lang w:val="es-ES"/>
        </w:rPr>
        <w:t xml:space="preserve">inegi. </w:t>
      </w:r>
      <w:r w:rsidRPr="00BD50CA">
        <w:rPr>
          <w:color w:val="4D565E"/>
          <w:sz w:val="16"/>
          <w:szCs w:val="16"/>
          <w:lang w:val="es-ES"/>
        </w:rPr>
        <w:t>Sistema de Cuentas Nacionales de México (</w:t>
      </w:r>
      <w:proofErr w:type="spellStart"/>
      <w:r w:rsidRPr="00BD50CA">
        <w:rPr>
          <w:smallCaps/>
          <w:color w:val="4D565E"/>
          <w:sz w:val="16"/>
          <w:szCs w:val="16"/>
          <w:lang w:val="es-ES"/>
        </w:rPr>
        <w:t>scnm</w:t>
      </w:r>
      <w:proofErr w:type="spellEnd"/>
      <w:r w:rsidRPr="00BD50CA">
        <w:rPr>
          <w:color w:val="4D565E"/>
          <w:sz w:val="16"/>
          <w:szCs w:val="16"/>
          <w:lang w:val="es-ES"/>
        </w:rPr>
        <w:t xml:space="preserve">). </w:t>
      </w:r>
      <w:r w:rsidRPr="00E23EEF">
        <w:rPr>
          <w:bCs/>
          <w:color w:val="4D565E"/>
          <w:sz w:val="16"/>
          <w:szCs w:val="16"/>
        </w:rPr>
        <w:t>Indicador Trimestral de la Actividad Económica Estatal (</w:t>
      </w:r>
      <w:proofErr w:type="spellStart"/>
      <w:r w:rsidRPr="00E23EEF">
        <w:rPr>
          <w:bCs/>
          <w:smallCaps/>
          <w:color w:val="4D565E"/>
          <w:sz w:val="16"/>
          <w:szCs w:val="16"/>
        </w:rPr>
        <w:t>itaee</w:t>
      </w:r>
      <w:proofErr w:type="spellEnd"/>
      <w:r w:rsidRPr="00E23EEF">
        <w:rPr>
          <w:bCs/>
          <w:color w:val="4D565E"/>
          <w:sz w:val="16"/>
          <w:szCs w:val="16"/>
        </w:rPr>
        <w:t>)</w:t>
      </w:r>
      <w:r>
        <w:rPr>
          <w:bCs/>
          <w:color w:val="4D565E"/>
          <w:sz w:val="16"/>
          <w:szCs w:val="16"/>
        </w:rPr>
        <w:t>, 202</w:t>
      </w:r>
      <w:r w:rsidR="00E73350">
        <w:rPr>
          <w:bCs/>
          <w:color w:val="4D565E"/>
          <w:sz w:val="16"/>
          <w:szCs w:val="16"/>
        </w:rPr>
        <w:t>5</w:t>
      </w:r>
      <w:r>
        <w:rPr>
          <w:bCs/>
          <w:color w:val="4D565E"/>
          <w:sz w:val="16"/>
          <w:szCs w:val="16"/>
        </w:rPr>
        <w:t>.</w:t>
      </w:r>
      <w:r w:rsidRPr="00BD50CA">
        <w:rPr>
          <w:color w:val="4D565E"/>
          <w:sz w:val="16"/>
          <w:szCs w:val="16"/>
          <w:lang w:val="es-ES"/>
        </w:rPr>
        <w:t xml:space="preserve"> </w:t>
      </w:r>
    </w:p>
    <w:p w14:paraId="684B92F1" w14:textId="77777777" w:rsidR="00E84787" w:rsidRDefault="00E84787">
      <w:pPr>
        <w:jc w:val="left"/>
        <w:rPr>
          <w:lang w:val="es-MX" w:eastAsia="es-MX"/>
        </w:rPr>
      </w:pPr>
      <w:r>
        <w:br w:type="page"/>
      </w:r>
    </w:p>
    <w:p w14:paraId="4CB39986" w14:textId="50021363" w:rsidR="00633216" w:rsidRPr="00D02E1E" w:rsidRDefault="00633216" w:rsidP="00633216">
      <w:pPr>
        <w:pStyle w:val="Default"/>
        <w:keepNext/>
        <w:keepLines/>
        <w:spacing w:before="240"/>
        <w:jc w:val="both"/>
        <w:rPr>
          <w:color w:val="auto"/>
        </w:rPr>
      </w:pPr>
      <w:r w:rsidRPr="00D02E1E">
        <w:rPr>
          <w:color w:val="auto"/>
        </w:rPr>
        <w:lastRenderedPageBreak/>
        <w:t xml:space="preserve">A </w:t>
      </w:r>
      <w:r w:rsidR="008B751A" w:rsidRPr="00D02E1E">
        <w:rPr>
          <w:color w:val="auto"/>
        </w:rPr>
        <w:t>continuación,</w:t>
      </w:r>
      <w:r w:rsidRPr="00D02E1E">
        <w:rPr>
          <w:color w:val="auto"/>
        </w:rPr>
        <w:t xml:space="preserve"> se presentan las gráficas de la</w:t>
      </w:r>
      <w:r w:rsidR="00872B20">
        <w:rPr>
          <w:color w:val="auto"/>
        </w:rPr>
        <w:t>s</w:t>
      </w:r>
      <w:r w:rsidRPr="00D02E1E">
        <w:rPr>
          <w:color w:val="auto"/>
        </w:rPr>
        <w:t xml:space="preserve"> serie</w:t>
      </w:r>
      <w:r w:rsidR="00872B20">
        <w:rPr>
          <w:color w:val="auto"/>
        </w:rPr>
        <w:t>s</w:t>
      </w:r>
      <w:r w:rsidRPr="00D02E1E">
        <w:rPr>
          <w:color w:val="auto"/>
        </w:rPr>
        <w:t xml:space="preserve"> desestacionalizada y de tendencia</w:t>
      </w:r>
      <w:r>
        <w:rPr>
          <w:color w:val="auto"/>
        </w:rPr>
        <w:noBreakHyphen/>
      </w:r>
      <w:r w:rsidRPr="00D02E1E">
        <w:rPr>
          <w:color w:val="auto"/>
        </w:rPr>
        <w:t xml:space="preserve">ciclo de la actividad </w:t>
      </w:r>
      <w:r w:rsidR="0043274C">
        <w:rPr>
          <w:color w:val="auto"/>
        </w:rPr>
        <w:t xml:space="preserve">económica </w:t>
      </w:r>
      <w:r w:rsidR="00045C6D">
        <w:rPr>
          <w:color w:val="auto"/>
        </w:rPr>
        <w:t>por entidad federativa</w:t>
      </w:r>
      <w:r w:rsidRPr="00D02E1E">
        <w:rPr>
          <w:color w:val="auto"/>
        </w:rPr>
        <w:t>.</w:t>
      </w:r>
    </w:p>
    <w:p w14:paraId="4E109569" w14:textId="77777777" w:rsidR="0057259F" w:rsidRPr="00FB75D8" w:rsidRDefault="0057259F" w:rsidP="005C02AD">
      <w:pPr>
        <w:pStyle w:val="p01"/>
        <w:keepNext/>
        <w:tabs>
          <w:tab w:val="center" w:pos="4987"/>
          <w:tab w:val="right" w:pos="9974"/>
        </w:tabs>
        <w:jc w:val="center"/>
        <w:rPr>
          <w:rFonts w:ascii="Arial" w:hAnsi="Arial" w:cs="Arial"/>
          <w:bCs/>
          <w:color w:val="4D565E"/>
          <w:sz w:val="20"/>
          <w:lang w:val="es-MX"/>
        </w:rPr>
      </w:pPr>
      <w:r w:rsidRPr="00FB75D8">
        <w:rPr>
          <w:rFonts w:ascii="Arial" w:hAnsi="Arial" w:cs="Arial"/>
          <w:bCs/>
          <w:color w:val="4D565E"/>
          <w:sz w:val="20"/>
          <w:lang w:val="es-MX"/>
        </w:rPr>
        <w:t>Gráfica 1</w:t>
      </w:r>
    </w:p>
    <w:p w14:paraId="38530668" w14:textId="4CB023A1" w:rsidR="00FB75D8" w:rsidRPr="00B24E84" w:rsidRDefault="00FB75D8" w:rsidP="005C02AD">
      <w:pPr>
        <w:pStyle w:val="p01"/>
        <w:keepNext/>
        <w:widowControl w:val="0"/>
        <w:spacing w:before="0"/>
        <w:jc w:val="center"/>
        <w:rPr>
          <w:rFonts w:ascii="Arial Negrita" w:hAnsi="Arial Negrita" w:cs="Arial"/>
          <w:b/>
          <w:color w:val="003057"/>
          <w:sz w:val="22"/>
          <w:lang w:val="es-MX"/>
        </w:rPr>
      </w:pPr>
      <w:r w:rsidRPr="00B24E84">
        <w:rPr>
          <w:rFonts w:ascii="Arial Negrita" w:hAnsi="Arial Negrita" w:cs="Arial"/>
          <w:b/>
          <w:color w:val="003057"/>
          <w:sz w:val="22"/>
          <w:lang w:val="es-MX"/>
        </w:rPr>
        <w:t>Serie desestacionalizada y de tendencia-ciclo</w:t>
      </w:r>
      <w:r w:rsidR="00856C6B" w:rsidRPr="00B24E84">
        <w:rPr>
          <w:rFonts w:ascii="Arial Negrita" w:hAnsi="Arial Negrita" w:cs="Arial"/>
          <w:b/>
          <w:color w:val="003057"/>
          <w:sz w:val="22"/>
          <w:lang w:val="es-MX"/>
        </w:rPr>
        <w:t xml:space="preserve"> </w:t>
      </w:r>
      <w:r w:rsidRPr="00B24E84">
        <w:rPr>
          <w:rFonts w:ascii="Arial Negrita" w:hAnsi="Arial Negrita" w:cs="Arial"/>
          <w:b/>
          <w:color w:val="003057"/>
          <w:sz w:val="22"/>
          <w:lang w:val="es-MX"/>
        </w:rPr>
        <w:t xml:space="preserve">de la </w:t>
      </w:r>
      <w:r w:rsidR="0039422A">
        <w:rPr>
          <w:rFonts w:ascii="Arial Negrita" w:hAnsi="Arial Negrita" w:cs="Arial"/>
          <w:b/>
          <w:color w:val="003057"/>
          <w:sz w:val="22"/>
          <w:lang w:val="es-MX"/>
        </w:rPr>
        <w:t>a</w:t>
      </w:r>
      <w:r w:rsidRPr="00B24E84">
        <w:rPr>
          <w:rFonts w:ascii="Arial Negrita" w:hAnsi="Arial Negrita" w:cs="Arial"/>
          <w:b/>
          <w:color w:val="003057"/>
          <w:sz w:val="22"/>
          <w:lang w:val="es-MX"/>
        </w:rPr>
        <w:t xml:space="preserve">ctividad </w:t>
      </w:r>
      <w:r w:rsidR="0039422A">
        <w:rPr>
          <w:rFonts w:ascii="Arial Negrita" w:hAnsi="Arial Negrita" w:cs="Arial"/>
          <w:b/>
          <w:color w:val="003057"/>
          <w:sz w:val="22"/>
          <w:lang w:val="es-MX"/>
        </w:rPr>
        <w:t>e</w:t>
      </w:r>
      <w:r w:rsidRPr="00B24E84">
        <w:rPr>
          <w:rFonts w:ascii="Arial Negrita" w:hAnsi="Arial Negrita" w:cs="Arial"/>
          <w:b/>
          <w:color w:val="003057"/>
          <w:sz w:val="22"/>
          <w:lang w:val="es-MX"/>
        </w:rPr>
        <w:t xml:space="preserve">conómica </w:t>
      </w:r>
      <w:r w:rsidR="0039422A">
        <w:rPr>
          <w:rFonts w:ascii="Arial Negrita" w:hAnsi="Arial Negrita" w:cs="Arial"/>
          <w:b/>
          <w:color w:val="003057"/>
          <w:sz w:val="22"/>
          <w:lang w:val="es-MX"/>
        </w:rPr>
        <w:t>e</w:t>
      </w:r>
      <w:r w:rsidRPr="00B24E84">
        <w:rPr>
          <w:rFonts w:ascii="Arial Negrita" w:hAnsi="Arial Negrita" w:cs="Arial"/>
          <w:b/>
          <w:color w:val="003057"/>
          <w:sz w:val="22"/>
          <w:lang w:val="es-MX"/>
        </w:rPr>
        <w:t>statal</w:t>
      </w:r>
    </w:p>
    <w:p w14:paraId="642991A1" w14:textId="509D7166" w:rsidR="00FB75D8" w:rsidRPr="00E73350" w:rsidRDefault="006D2320" w:rsidP="00E73350">
      <w:pPr>
        <w:pStyle w:val="p01"/>
        <w:keepNext/>
        <w:spacing w:before="0"/>
        <w:jc w:val="center"/>
        <w:rPr>
          <w:rFonts w:ascii="Arial" w:hAnsi="Arial" w:cs="Arial"/>
          <w:snapToGrid w:val="0"/>
          <w:color w:val="27251F"/>
          <w:sz w:val="20"/>
          <w:szCs w:val="22"/>
          <w:lang w:val="es-ES"/>
        </w:rPr>
      </w:pPr>
      <w:r w:rsidRPr="00E73350">
        <w:rPr>
          <w:rFonts w:ascii="Arial" w:hAnsi="Arial" w:cs="Arial"/>
          <w:snapToGrid w:val="0"/>
          <w:color w:val="27251F"/>
          <w:sz w:val="18"/>
          <w:lang w:val="es-ES"/>
        </w:rPr>
        <w:t>primer</w:t>
      </w:r>
      <w:r w:rsidR="00FB75D8" w:rsidRPr="00E73350">
        <w:rPr>
          <w:rFonts w:ascii="Arial" w:hAnsi="Arial" w:cs="Arial"/>
          <w:snapToGrid w:val="0"/>
          <w:color w:val="27251F"/>
          <w:sz w:val="18"/>
          <w:lang w:val="es-ES"/>
        </w:rPr>
        <w:t xml:space="preserve"> trimestre de 2019 a </w:t>
      </w:r>
      <w:r w:rsidRPr="00E73350">
        <w:rPr>
          <w:rFonts w:ascii="Arial" w:hAnsi="Arial" w:cs="Arial"/>
          <w:snapToGrid w:val="0"/>
          <w:color w:val="27251F"/>
          <w:sz w:val="18"/>
          <w:lang w:val="es-ES"/>
        </w:rPr>
        <w:t>tercer</w:t>
      </w:r>
      <w:r w:rsidR="00FB75D8" w:rsidRPr="00E73350">
        <w:rPr>
          <w:rFonts w:ascii="Arial" w:hAnsi="Arial" w:cs="Arial"/>
          <w:snapToGrid w:val="0"/>
          <w:color w:val="27251F"/>
          <w:sz w:val="18"/>
          <w:lang w:val="es-ES"/>
        </w:rPr>
        <w:t xml:space="preserve"> trimestre de 2024</w:t>
      </w:r>
    </w:p>
    <w:p w14:paraId="7F63F24A" w14:textId="79266955" w:rsidR="00FB75D8" w:rsidRPr="00B24E84" w:rsidRDefault="00E73350" w:rsidP="005C02AD">
      <w:pPr>
        <w:jc w:val="center"/>
        <w:rPr>
          <w:snapToGrid w:val="0"/>
          <w:color w:val="404040"/>
          <w:sz w:val="18"/>
          <w:szCs w:val="20"/>
          <w:lang w:val="es-ES"/>
        </w:rPr>
      </w:pPr>
      <w:r w:rsidRPr="00B043ED">
        <w:rPr>
          <w:color w:val="27251F"/>
          <w:sz w:val="18"/>
          <w:szCs w:val="18"/>
          <w:lang w:val="es-MX"/>
        </w:rPr>
        <w:t>(índice 2018=100</w:t>
      </w:r>
      <w:r w:rsidR="004C6DDD">
        <w:rPr>
          <w:color w:val="27251F"/>
          <w:sz w:val="18"/>
          <w:szCs w:val="18"/>
          <w:lang w:val="es-MX"/>
        </w:rPr>
        <w:t>)</w:t>
      </w:r>
    </w:p>
    <w:tbl>
      <w:tblPr>
        <w:tblStyle w:val="Tablaconcuadrcula"/>
        <w:tblW w:w="99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4"/>
        <w:gridCol w:w="146"/>
        <w:gridCol w:w="4914"/>
      </w:tblGrid>
      <w:tr w:rsidR="00E84D30" w:rsidRPr="002606AC" w14:paraId="63EB585B" w14:textId="77777777" w:rsidTr="00FF08CD">
        <w:trPr>
          <w:trHeight w:val="170"/>
          <w:jc w:val="center"/>
        </w:trPr>
        <w:tc>
          <w:tcPr>
            <w:tcW w:w="4914" w:type="dxa"/>
            <w:vAlign w:val="bottom"/>
          </w:tcPr>
          <w:p w14:paraId="3067FF5C" w14:textId="77777777" w:rsidR="00E84D30" w:rsidRPr="00C37EE8" w:rsidRDefault="00E84D30" w:rsidP="008D2ADC">
            <w:pPr>
              <w:jc w:val="center"/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146" w:type="dxa"/>
            <w:vAlign w:val="bottom"/>
          </w:tcPr>
          <w:p w14:paraId="20BC4A76" w14:textId="77777777" w:rsidR="00E84D30" w:rsidRPr="00C37EE8" w:rsidRDefault="00E84D30" w:rsidP="008D2ADC">
            <w:pPr>
              <w:jc w:val="center"/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  <w:vAlign w:val="bottom"/>
          </w:tcPr>
          <w:p w14:paraId="728142C4" w14:textId="758F6769" w:rsidR="00E84D30" w:rsidRPr="00C33212" w:rsidRDefault="00E84D30" w:rsidP="008D2ADC">
            <w:pPr>
              <w:jc w:val="right"/>
              <w:rPr>
                <w:bCs/>
                <w:snapToGrid w:val="0"/>
                <w:color w:val="4D565E"/>
                <w:sz w:val="20"/>
                <w:szCs w:val="22"/>
                <w:lang w:val="es-ES"/>
              </w:rPr>
            </w:pPr>
            <w:r w:rsidRPr="00C33212">
              <w:rPr>
                <w:bCs/>
                <w:snapToGrid w:val="0"/>
                <w:color w:val="4D565E"/>
                <w:sz w:val="16"/>
                <w:szCs w:val="18"/>
                <w:lang w:val="es-ES"/>
              </w:rPr>
              <w:t>(</w:t>
            </w:r>
            <w:r w:rsidR="004C6DDD">
              <w:rPr>
                <w:bCs/>
                <w:snapToGrid w:val="0"/>
                <w:color w:val="4D565E"/>
                <w:sz w:val="16"/>
                <w:szCs w:val="18"/>
                <w:lang w:val="es-ES"/>
              </w:rPr>
              <w:t>c</w:t>
            </w:r>
            <w:r w:rsidR="00FF7040" w:rsidRPr="00C33212">
              <w:rPr>
                <w:bCs/>
                <w:snapToGrid w:val="0"/>
                <w:color w:val="4D565E"/>
                <w:sz w:val="16"/>
                <w:szCs w:val="18"/>
                <w:lang w:val="es-ES"/>
              </w:rPr>
              <w:t>ontinúa</w:t>
            </w:r>
            <w:r w:rsidRPr="00C33212">
              <w:rPr>
                <w:bCs/>
                <w:snapToGrid w:val="0"/>
                <w:color w:val="4D565E"/>
                <w:sz w:val="20"/>
                <w:szCs w:val="22"/>
                <w:lang w:val="es-ES"/>
              </w:rPr>
              <w:t>)</w:t>
            </w:r>
          </w:p>
        </w:tc>
      </w:tr>
      <w:tr w:rsidR="00E84D30" w:rsidRPr="008871B5" w14:paraId="2BF1ADA4" w14:textId="77777777" w:rsidTr="00FF08CD">
        <w:trPr>
          <w:trHeight w:val="340"/>
          <w:jc w:val="center"/>
        </w:trPr>
        <w:tc>
          <w:tcPr>
            <w:tcW w:w="4914" w:type="dxa"/>
            <w:vAlign w:val="center"/>
            <w:hideMark/>
          </w:tcPr>
          <w:p w14:paraId="56A97E56" w14:textId="77777777" w:rsidR="00E84D30" w:rsidRPr="00FF0126" w:rsidRDefault="00E84D30" w:rsidP="008D2ADC">
            <w:pPr>
              <w:keepNext/>
              <w:keepLines/>
              <w:widowControl w:val="0"/>
              <w:autoSpaceDE w:val="0"/>
              <w:autoSpaceDN w:val="0"/>
              <w:adjustRightInd w:val="0"/>
              <w:ind w:left="-71"/>
              <w:jc w:val="center"/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</w:pPr>
            <w:r w:rsidRPr="00FF0126"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  <w:t>Aguascalientes</w:t>
            </w:r>
          </w:p>
        </w:tc>
        <w:tc>
          <w:tcPr>
            <w:tcW w:w="146" w:type="dxa"/>
            <w:vAlign w:val="bottom"/>
          </w:tcPr>
          <w:p w14:paraId="3F609CEF" w14:textId="77777777" w:rsidR="00E84D30" w:rsidRPr="00275EAC" w:rsidRDefault="00E84D30" w:rsidP="008D2ADC">
            <w:pPr>
              <w:jc w:val="center"/>
              <w:rPr>
                <w:bCs/>
                <w:snapToGrid w:val="0"/>
                <w:sz w:val="18"/>
                <w:szCs w:val="20"/>
                <w:lang w:val="es-ES"/>
              </w:rPr>
            </w:pPr>
          </w:p>
        </w:tc>
        <w:tc>
          <w:tcPr>
            <w:tcW w:w="4914" w:type="dxa"/>
            <w:vAlign w:val="center"/>
            <w:hideMark/>
          </w:tcPr>
          <w:p w14:paraId="787141AE" w14:textId="77777777" w:rsidR="00E84D30" w:rsidRPr="00FF0126" w:rsidRDefault="00E84D30" w:rsidP="008D2ADC">
            <w:pPr>
              <w:jc w:val="center"/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</w:pPr>
            <w:r w:rsidRPr="00FF0126"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  <w:t>Baja California</w:t>
            </w:r>
          </w:p>
        </w:tc>
      </w:tr>
      <w:tr w:rsidR="00E84D30" w:rsidRPr="00C37EE8" w14:paraId="023F3ABC" w14:textId="77777777" w:rsidTr="00FF08CD">
        <w:trPr>
          <w:trHeight w:hRule="exact" w:val="2268"/>
          <w:jc w:val="center"/>
        </w:trPr>
        <w:tc>
          <w:tcPr>
            <w:tcW w:w="4914" w:type="dxa"/>
            <w:hideMark/>
          </w:tcPr>
          <w:p w14:paraId="719F491D" w14:textId="0671BDB4" w:rsidR="00E84D30" w:rsidRPr="00C37EE8" w:rsidRDefault="00AC3A14" w:rsidP="008D2ADC">
            <w:pPr>
              <w:rPr>
                <w:b/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54875E7B" wp14:editId="4AC0AF78">
                  <wp:extent cx="3060000" cy="1440000"/>
                  <wp:effectExtent l="0" t="0" r="0" b="0"/>
                  <wp:docPr id="29488558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146" w:type="dxa"/>
          </w:tcPr>
          <w:p w14:paraId="06C4C3E4" w14:textId="77777777" w:rsidR="00E84D30" w:rsidRPr="00C37EE8" w:rsidRDefault="00E84D30" w:rsidP="008D2ADC">
            <w:pPr>
              <w:rPr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  <w:hideMark/>
          </w:tcPr>
          <w:p w14:paraId="459BBA19" w14:textId="3B9EFEAC" w:rsidR="00E84D30" w:rsidRPr="00C37EE8" w:rsidRDefault="00AC3A14" w:rsidP="008D2ADC">
            <w:pPr>
              <w:rPr>
                <w:b/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5D9CCFEB" wp14:editId="19AFD076">
                  <wp:extent cx="3060000" cy="1440000"/>
                  <wp:effectExtent l="0" t="0" r="0" b="0"/>
                  <wp:docPr id="361474705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E84D30" w:rsidRPr="00C37EE8" w14:paraId="4DAF4886" w14:textId="77777777" w:rsidTr="00FF08CD">
        <w:trPr>
          <w:trHeight w:hRule="exact" w:val="113"/>
          <w:jc w:val="center"/>
        </w:trPr>
        <w:tc>
          <w:tcPr>
            <w:tcW w:w="4914" w:type="dxa"/>
            <w:vAlign w:val="bottom"/>
          </w:tcPr>
          <w:p w14:paraId="4EBCF61E" w14:textId="77777777" w:rsidR="00E84D30" w:rsidRPr="00C37EE8" w:rsidRDefault="00E84D30" w:rsidP="008D2ADC">
            <w:pPr>
              <w:jc w:val="center"/>
              <w:rPr>
                <w:bCs/>
                <w:snapToGrid w:val="0"/>
                <w:color w:val="4D565E"/>
                <w:sz w:val="20"/>
                <w:szCs w:val="22"/>
                <w:lang w:val="es-ES"/>
              </w:rPr>
            </w:pPr>
          </w:p>
        </w:tc>
        <w:tc>
          <w:tcPr>
            <w:tcW w:w="146" w:type="dxa"/>
            <w:vAlign w:val="bottom"/>
          </w:tcPr>
          <w:p w14:paraId="423AC31A" w14:textId="77777777" w:rsidR="00E84D30" w:rsidRPr="00C37EE8" w:rsidRDefault="00E84D30" w:rsidP="008D2ADC">
            <w:pPr>
              <w:jc w:val="center"/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  <w:vAlign w:val="bottom"/>
          </w:tcPr>
          <w:p w14:paraId="635BA3FF" w14:textId="77777777" w:rsidR="00E84D30" w:rsidRPr="00C37EE8" w:rsidRDefault="00E84D30" w:rsidP="008D2ADC">
            <w:pPr>
              <w:jc w:val="center"/>
              <w:rPr>
                <w:bCs/>
                <w:snapToGrid w:val="0"/>
                <w:color w:val="4D565E"/>
                <w:sz w:val="20"/>
                <w:szCs w:val="22"/>
                <w:lang w:val="es-ES"/>
              </w:rPr>
            </w:pPr>
          </w:p>
        </w:tc>
      </w:tr>
      <w:tr w:rsidR="00E84D30" w:rsidRPr="00C37EE8" w14:paraId="0B3B869E" w14:textId="77777777" w:rsidTr="00FF08CD">
        <w:trPr>
          <w:trHeight w:hRule="exact" w:val="340"/>
          <w:jc w:val="center"/>
        </w:trPr>
        <w:tc>
          <w:tcPr>
            <w:tcW w:w="4914" w:type="dxa"/>
            <w:vAlign w:val="center"/>
            <w:hideMark/>
          </w:tcPr>
          <w:p w14:paraId="587E232E" w14:textId="77777777" w:rsidR="00E84D30" w:rsidRPr="00FF0126" w:rsidRDefault="00E84D30" w:rsidP="008D2ADC">
            <w:pPr>
              <w:jc w:val="center"/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</w:pPr>
            <w:r w:rsidRPr="00FF0126"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  <w:t>Baja California Sur</w:t>
            </w:r>
          </w:p>
        </w:tc>
        <w:tc>
          <w:tcPr>
            <w:tcW w:w="146" w:type="dxa"/>
            <w:vAlign w:val="center"/>
          </w:tcPr>
          <w:p w14:paraId="7A188821" w14:textId="77777777" w:rsidR="00E84D30" w:rsidRPr="00275EAC" w:rsidRDefault="00E84D30" w:rsidP="008D2ADC">
            <w:pPr>
              <w:jc w:val="center"/>
              <w:rPr>
                <w:bCs/>
                <w:snapToGrid w:val="0"/>
                <w:sz w:val="18"/>
                <w:szCs w:val="20"/>
                <w:lang w:val="es-ES"/>
              </w:rPr>
            </w:pPr>
          </w:p>
        </w:tc>
        <w:tc>
          <w:tcPr>
            <w:tcW w:w="4914" w:type="dxa"/>
            <w:vAlign w:val="center"/>
            <w:hideMark/>
          </w:tcPr>
          <w:p w14:paraId="1A2B53D3" w14:textId="77777777" w:rsidR="00E84D30" w:rsidRPr="00CD7AA0" w:rsidRDefault="00E84D30" w:rsidP="008D2ADC">
            <w:pPr>
              <w:jc w:val="center"/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</w:pPr>
            <w:r w:rsidRPr="00CD7AA0"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  <w:t>Campeche</w:t>
            </w:r>
          </w:p>
        </w:tc>
      </w:tr>
      <w:tr w:rsidR="00E84D30" w:rsidRPr="00C37EE8" w14:paraId="2F55E80F" w14:textId="77777777" w:rsidTr="00FF08CD">
        <w:trPr>
          <w:trHeight w:hRule="exact" w:val="2268"/>
          <w:jc w:val="center"/>
        </w:trPr>
        <w:tc>
          <w:tcPr>
            <w:tcW w:w="4914" w:type="dxa"/>
            <w:hideMark/>
          </w:tcPr>
          <w:p w14:paraId="05A82163" w14:textId="0FC2F6E5" w:rsidR="00E84D30" w:rsidRPr="00C37EE8" w:rsidRDefault="00AC3A14" w:rsidP="008D2ADC">
            <w:pPr>
              <w:rPr>
                <w:bCs/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45867553" wp14:editId="2EE7609C">
                  <wp:extent cx="3060000" cy="1440000"/>
                  <wp:effectExtent l="0" t="0" r="0" b="0"/>
                  <wp:docPr id="53703362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146" w:type="dxa"/>
          </w:tcPr>
          <w:p w14:paraId="1E15791B" w14:textId="77777777" w:rsidR="00E84D30" w:rsidRPr="00C37EE8" w:rsidRDefault="00E84D30" w:rsidP="008D2ADC">
            <w:pPr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  <w:hideMark/>
          </w:tcPr>
          <w:p w14:paraId="38D3C5BE" w14:textId="086CD6A4" w:rsidR="00E84D30" w:rsidRPr="00C37EE8" w:rsidRDefault="00AC3A14" w:rsidP="008D2ADC">
            <w:pPr>
              <w:rPr>
                <w:bCs/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5272F518" wp14:editId="198A2C1D">
                  <wp:extent cx="3060000" cy="1440000"/>
                  <wp:effectExtent l="0" t="0" r="0" b="0"/>
                  <wp:docPr id="66150681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E84D30" w:rsidRPr="00C37EE8" w14:paraId="69705DC9" w14:textId="77777777" w:rsidTr="00FF08CD">
        <w:trPr>
          <w:trHeight w:hRule="exact" w:val="113"/>
          <w:jc w:val="center"/>
        </w:trPr>
        <w:tc>
          <w:tcPr>
            <w:tcW w:w="4914" w:type="dxa"/>
            <w:vAlign w:val="bottom"/>
          </w:tcPr>
          <w:p w14:paraId="0DB45FB8" w14:textId="77777777" w:rsidR="00E84D30" w:rsidRPr="00C37EE8" w:rsidRDefault="00E84D30" w:rsidP="008D2ADC">
            <w:pPr>
              <w:jc w:val="center"/>
              <w:rPr>
                <w:bCs/>
                <w:snapToGrid w:val="0"/>
                <w:color w:val="4D565E"/>
                <w:sz w:val="20"/>
                <w:szCs w:val="22"/>
                <w:lang w:val="es-ES"/>
              </w:rPr>
            </w:pPr>
          </w:p>
        </w:tc>
        <w:tc>
          <w:tcPr>
            <w:tcW w:w="146" w:type="dxa"/>
            <w:vAlign w:val="bottom"/>
          </w:tcPr>
          <w:p w14:paraId="5BC8C845" w14:textId="77777777" w:rsidR="00E84D30" w:rsidRPr="00C37EE8" w:rsidRDefault="00E84D30" w:rsidP="008D2ADC">
            <w:pPr>
              <w:jc w:val="center"/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  <w:vAlign w:val="bottom"/>
          </w:tcPr>
          <w:p w14:paraId="40B7E246" w14:textId="77777777" w:rsidR="00E84D30" w:rsidRPr="00C37EE8" w:rsidRDefault="00E84D30" w:rsidP="008D2ADC">
            <w:pPr>
              <w:jc w:val="center"/>
              <w:rPr>
                <w:bCs/>
                <w:snapToGrid w:val="0"/>
                <w:color w:val="4D565E"/>
                <w:sz w:val="20"/>
                <w:szCs w:val="22"/>
                <w:lang w:val="es-ES"/>
              </w:rPr>
            </w:pPr>
          </w:p>
        </w:tc>
      </w:tr>
      <w:tr w:rsidR="00E84D30" w:rsidRPr="00C37EE8" w14:paraId="7A78CF16" w14:textId="77777777" w:rsidTr="00FF08CD">
        <w:trPr>
          <w:trHeight w:hRule="exact" w:val="340"/>
          <w:jc w:val="center"/>
        </w:trPr>
        <w:tc>
          <w:tcPr>
            <w:tcW w:w="4914" w:type="dxa"/>
            <w:vAlign w:val="center"/>
            <w:hideMark/>
          </w:tcPr>
          <w:p w14:paraId="16CAD75E" w14:textId="77777777" w:rsidR="00E84D30" w:rsidRPr="00275EAC" w:rsidRDefault="00E84D30" w:rsidP="008D2ADC">
            <w:pPr>
              <w:jc w:val="center"/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</w:pPr>
            <w:r w:rsidRPr="00275EAC"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  <w:t>Coahuila de Zaragoza</w:t>
            </w:r>
          </w:p>
        </w:tc>
        <w:tc>
          <w:tcPr>
            <w:tcW w:w="146" w:type="dxa"/>
            <w:vAlign w:val="center"/>
          </w:tcPr>
          <w:p w14:paraId="7EB4E179" w14:textId="77777777" w:rsidR="00E84D30" w:rsidRPr="00275EAC" w:rsidRDefault="00E84D30" w:rsidP="008D2ADC">
            <w:pPr>
              <w:jc w:val="center"/>
              <w:rPr>
                <w:bCs/>
                <w:snapToGrid w:val="0"/>
                <w:sz w:val="18"/>
                <w:szCs w:val="20"/>
                <w:lang w:val="es-ES"/>
              </w:rPr>
            </w:pPr>
          </w:p>
        </w:tc>
        <w:tc>
          <w:tcPr>
            <w:tcW w:w="4914" w:type="dxa"/>
            <w:vAlign w:val="center"/>
            <w:hideMark/>
          </w:tcPr>
          <w:p w14:paraId="7C3AE53A" w14:textId="77777777" w:rsidR="00E84D30" w:rsidRPr="00FF0126" w:rsidRDefault="00E84D30" w:rsidP="008D2ADC">
            <w:pPr>
              <w:jc w:val="center"/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</w:pPr>
            <w:r w:rsidRPr="00FF0126"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  <w:t>Colima</w:t>
            </w:r>
          </w:p>
        </w:tc>
      </w:tr>
      <w:tr w:rsidR="00E84D30" w:rsidRPr="00C37EE8" w14:paraId="0C8A8F7B" w14:textId="77777777" w:rsidTr="00FF08CD">
        <w:trPr>
          <w:trHeight w:hRule="exact" w:val="2268"/>
          <w:jc w:val="center"/>
        </w:trPr>
        <w:tc>
          <w:tcPr>
            <w:tcW w:w="4914" w:type="dxa"/>
            <w:hideMark/>
          </w:tcPr>
          <w:p w14:paraId="07AD8A4A" w14:textId="54ABD1D9" w:rsidR="00E84D30" w:rsidRPr="00C37EE8" w:rsidRDefault="00AC3A14" w:rsidP="008D2ADC">
            <w:pPr>
              <w:rPr>
                <w:bCs/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5E9E5689" wp14:editId="59F3EB30">
                  <wp:extent cx="3060000" cy="1440000"/>
                  <wp:effectExtent l="0" t="0" r="0" b="0"/>
                  <wp:docPr id="86081018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146" w:type="dxa"/>
          </w:tcPr>
          <w:p w14:paraId="279EDFC6" w14:textId="77777777" w:rsidR="00E84D30" w:rsidRPr="00C37EE8" w:rsidRDefault="00E84D30" w:rsidP="008D2ADC">
            <w:pPr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  <w:hideMark/>
          </w:tcPr>
          <w:p w14:paraId="14FB6CD3" w14:textId="342BE704" w:rsidR="00E84D30" w:rsidRPr="00C37EE8" w:rsidRDefault="00AC3A14" w:rsidP="008D2ADC">
            <w:pPr>
              <w:rPr>
                <w:bCs/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134A51A2" wp14:editId="2AFEAB64">
                  <wp:extent cx="3060000" cy="1440000"/>
                  <wp:effectExtent l="0" t="0" r="0" b="0"/>
                  <wp:docPr id="100341554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E84D30" w:rsidRPr="002606AC" w14:paraId="4CA079DF" w14:textId="77777777" w:rsidTr="00FF08CD">
        <w:trPr>
          <w:trHeight w:hRule="exact" w:val="170"/>
          <w:jc w:val="center"/>
        </w:trPr>
        <w:tc>
          <w:tcPr>
            <w:tcW w:w="4914" w:type="dxa"/>
            <w:vAlign w:val="bottom"/>
          </w:tcPr>
          <w:p w14:paraId="3AAF1755" w14:textId="77777777" w:rsidR="00E84D30" w:rsidRPr="00C33212" w:rsidRDefault="00E84D30" w:rsidP="008D2ADC">
            <w:pPr>
              <w:keepNext/>
              <w:keepLines/>
              <w:textAlignment w:val="center"/>
              <w:rPr>
                <w:sz w:val="16"/>
                <w:szCs w:val="16"/>
              </w:rPr>
            </w:pPr>
          </w:p>
          <w:p w14:paraId="6A1EF3D0" w14:textId="77777777" w:rsidR="00E84D30" w:rsidRPr="00C33212" w:rsidRDefault="00E84D30" w:rsidP="008D2ADC">
            <w:pPr>
              <w:keepNext/>
              <w:keepLines/>
              <w:jc w:val="center"/>
              <w:rPr>
                <w:bCs/>
                <w:snapToGrid w:val="0"/>
                <w:color w:val="4D565E"/>
                <w:sz w:val="16"/>
                <w:szCs w:val="16"/>
                <w:lang w:val="es-ES"/>
              </w:rPr>
            </w:pPr>
          </w:p>
        </w:tc>
        <w:tc>
          <w:tcPr>
            <w:tcW w:w="146" w:type="dxa"/>
            <w:vAlign w:val="bottom"/>
          </w:tcPr>
          <w:p w14:paraId="407C6DE5" w14:textId="77777777" w:rsidR="00E84D30" w:rsidRPr="00C33212" w:rsidRDefault="00E84D30" w:rsidP="008D2ADC">
            <w:pPr>
              <w:keepNext/>
              <w:keepLines/>
              <w:jc w:val="center"/>
              <w:rPr>
                <w:bCs/>
                <w:snapToGrid w:val="0"/>
                <w:sz w:val="16"/>
                <w:szCs w:val="16"/>
                <w:lang w:val="es-ES"/>
              </w:rPr>
            </w:pPr>
          </w:p>
        </w:tc>
        <w:tc>
          <w:tcPr>
            <w:tcW w:w="4914" w:type="dxa"/>
            <w:vAlign w:val="bottom"/>
          </w:tcPr>
          <w:p w14:paraId="0090C349" w14:textId="77777777" w:rsidR="00E84D30" w:rsidRPr="00C33212" w:rsidRDefault="00E84D30" w:rsidP="008D2ADC">
            <w:pPr>
              <w:keepNext/>
              <w:keepLines/>
              <w:jc w:val="right"/>
              <w:rPr>
                <w:bCs/>
                <w:snapToGrid w:val="0"/>
                <w:color w:val="4D565E"/>
                <w:sz w:val="16"/>
                <w:szCs w:val="16"/>
                <w:lang w:val="es-ES"/>
              </w:rPr>
            </w:pPr>
            <w:r w:rsidRPr="00C33212">
              <w:rPr>
                <w:bCs/>
                <w:snapToGrid w:val="0"/>
                <w:color w:val="4D565E"/>
                <w:sz w:val="16"/>
                <w:szCs w:val="16"/>
                <w:lang w:val="es-ES"/>
              </w:rPr>
              <w:t>(continuación)</w:t>
            </w:r>
          </w:p>
        </w:tc>
      </w:tr>
      <w:tr w:rsidR="00E84D30" w:rsidRPr="00875036" w14:paraId="0CDDFC9F" w14:textId="77777777" w:rsidTr="00FF08CD">
        <w:trPr>
          <w:trHeight w:hRule="exact" w:val="340"/>
          <w:jc w:val="center"/>
        </w:trPr>
        <w:tc>
          <w:tcPr>
            <w:tcW w:w="4914" w:type="dxa"/>
            <w:vAlign w:val="center"/>
            <w:hideMark/>
          </w:tcPr>
          <w:p w14:paraId="43703C40" w14:textId="77777777" w:rsidR="00E84D30" w:rsidRPr="00275EAC" w:rsidRDefault="00E84D30" w:rsidP="008D2ADC">
            <w:pPr>
              <w:keepNext/>
              <w:keepLines/>
              <w:jc w:val="center"/>
              <w:rPr>
                <w:bCs/>
                <w:snapToGrid w:val="0"/>
                <w:sz w:val="18"/>
                <w:szCs w:val="18"/>
                <w:lang w:val="es-ES"/>
              </w:rPr>
            </w:pPr>
            <w:r w:rsidRPr="00275EAC">
              <w:rPr>
                <w:bCs/>
                <w:snapToGrid w:val="0"/>
                <w:color w:val="4D565E"/>
                <w:sz w:val="18"/>
                <w:szCs w:val="18"/>
                <w:lang w:val="es-ES"/>
              </w:rPr>
              <w:t>Chiapa</w:t>
            </w:r>
            <w:r w:rsidRPr="00BB255A">
              <w:rPr>
                <w:bCs/>
                <w:snapToGrid w:val="0"/>
                <w:color w:val="4D565E"/>
                <w:sz w:val="18"/>
                <w:szCs w:val="18"/>
                <w:lang w:val="es-ES"/>
              </w:rPr>
              <w:t>s</w:t>
            </w:r>
          </w:p>
        </w:tc>
        <w:tc>
          <w:tcPr>
            <w:tcW w:w="146" w:type="dxa"/>
            <w:vAlign w:val="center"/>
          </w:tcPr>
          <w:p w14:paraId="43C43931" w14:textId="77777777" w:rsidR="00E84D30" w:rsidRPr="00275EAC" w:rsidRDefault="00E84D30" w:rsidP="008D2ADC">
            <w:pPr>
              <w:keepNext/>
              <w:keepLines/>
              <w:jc w:val="center"/>
              <w:rPr>
                <w:bCs/>
                <w:snapToGrid w:val="0"/>
                <w:sz w:val="18"/>
                <w:szCs w:val="18"/>
                <w:lang w:val="es-ES"/>
              </w:rPr>
            </w:pPr>
          </w:p>
        </w:tc>
        <w:tc>
          <w:tcPr>
            <w:tcW w:w="4914" w:type="dxa"/>
            <w:vAlign w:val="center"/>
            <w:hideMark/>
          </w:tcPr>
          <w:p w14:paraId="59D2F3C0" w14:textId="77777777" w:rsidR="00E84D30" w:rsidRPr="00275EAC" w:rsidRDefault="00E84D30" w:rsidP="008D2ADC">
            <w:pPr>
              <w:keepNext/>
              <w:keepLines/>
              <w:jc w:val="center"/>
              <w:rPr>
                <w:bCs/>
                <w:snapToGrid w:val="0"/>
                <w:color w:val="4D565E"/>
                <w:sz w:val="18"/>
                <w:szCs w:val="18"/>
                <w:lang w:val="es-ES"/>
              </w:rPr>
            </w:pPr>
            <w:r w:rsidRPr="00275EAC">
              <w:rPr>
                <w:bCs/>
                <w:snapToGrid w:val="0"/>
                <w:color w:val="4D565E"/>
                <w:sz w:val="18"/>
                <w:szCs w:val="18"/>
                <w:lang w:val="es-ES"/>
              </w:rPr>
              <w:t>Chihuahua</w:t>
            </w:r>
          </w:p>
        </w:tc>
      </w:tr>
      <w:tr w:rsidR="00E84D30" w:rsidRPr="00C37EE8" w14:paraId="4C5BA776" w14:textId="77777777" w:rsidTr="00FF08CD">
        <w:trPr>
          <w:trHeight w:hRule="exact" w:val="2268"/>
          <w:jc w:val="center"/>
        </w:trPr>
        <w:tc>
          <w:tcPr>
            <w:tcW w:w="4914" w:type="dxa"/>
            <w:hideMark/>
          </w:tcPr>
          <w:p w14:paraId="3B311A82" w14:textId="6AC28E3E" w:rsidR="00E84D30" w:rsidRPr="00C37EE8" w:rsidRDefault="00AC3A14" w:rsidP="008D2ADC">
            <w:pPr>
              <w:keepNext/>
              <w:keepLines/>
              <w:rPr>
                <w:bCs/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44D7BDE2" wp14:editId="7F346E28">
                  <wp:extent cx="3060000" cy="1440000"/>
                  <wp:effectExtent l="0" t="0" r="0" b="0"/>
                  <wp:docPr id="107911835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146" w:type="dxa"/>
          </w:tcPr>
          <w:p w14:paraId="65D2B049" w14:textId="77777777" w:rsidR="00E84D30" w:rsidRPr="00C37EE8" w:rsidRDefault="00E84D30" w:rsidP="008D2ADC">
            <w:pPr>
              <w:keepNext/>
              <w:keepLines/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  <w:hideMark/>
          </w:tcPr>
          <w:p w14:paraId="5EC1D029" w14:textId="54A7B75D" w:rsidR="00E84D30" w:rsidRPr="00C37EE8" w:rsidRDefault="00AC3A14" w:rsidP="008D2ADC">
            <w:pPr>
              <w:keepNext/>
              <w:keepLines/>
              <w:rPr>
                <w:bCs/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41325482" wp14:editId="1972E334">
                  <wp:extent cx="3060000" cy="1440000"/>
                  <wp:effectExtent l="0" t="0" r="0" b="0"/>
                  <wp:docPr id="110833010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E84D30" w:rsidRPr="00C37EE8" w14:paraId="2E59F9D3" w14:textId="77777777" w:rsidTr="00FF08CD">
        <w:trPr>
          <w:trHeight w:hRule="exact" w:val="113"/>
          <w:jc w:val="center"/>
        </w:trPr>
        <w:tc>
          <w:tcPr>
            <w:tcW w:w="4914" w:type="dxa"/>
            <w:vAlign w:val="bottom"/>
          </w:tcPr>
          <w:p w14:paraId="7334294A" w14:textId="77777777" w:rsidR="00E84D30" w:rsidRPr="00C37EE8" w:rsidRDefault="00E84D30" w:rsidP="008D2ADC">
            <w:pPr>
              <w:keepNext/>
              <w:keepLines/>
              <w:jc w:val="center"/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146" w:type="dxa"/>
            <w:vAlign w:val="bottom"/>
          </w:tcPr>
          <w:p w14:paraId="3320EA67" w14:textId="77777777" w:rsidR="00E84D30" w:rsidRPr="00C37EE8" w:rsidRDefault="00E84D30" w:rsidP="008D2ADC">
            <w:pPr>
              <w:keepNext/>
              <w:keepLines/>
              <w:jc w:val="center"/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  <w:vAlign w:val="bottom"/>
          </w:tcPr>
          <w:p w14:paraId="10CD4843" w14:textId="77777777" w:rsidR="00E84D30" w:rsidRPr="00C37EE8" w:rsidRDefault="00E84D30" w:rsidP="008D2ADC">
            <w:pPr>
              <w:keepNext/>
              <w:keepLines/>
              <w:jc w:val="right"/>
              <w:rPr>
                <w:bCs/>
                <w:snapToGrid w:val="0"/>
                <w:sz w:val="16"/>
                <w:szCs w:val="16"/>
                <w:lang w:val="es-ES"/>
              </w:rPr>
            </w:pPr>
          </w:p>
        </w:tc>
      </w:tr>
      <w:tr w:rsidR="00E84D30" w:rsidRPr="00875036" w14:paraId="4790A4D9" w14:textId="77777777" w:rsidTr="00FF08CD">
        <w:trPr>
          <w:trHeight w:hRule="exact" w:val="340"/>
          <w:jc w:val="center"/>
        </w:trPr>
        <w:tc>
          <w:tcPr>
            <w:tcW w:w="4914" w:type="dxa"/>
            <w:vAlign w:val="center"/>
            <w:hideMark/>
          </w:tcPr>
          <w:p w14:paraId="4CD1D211" w14:textId="77777777" w:rsidR="00E84D30" w:rsidRPr="00275EAC" w:rsidRDefault="00E84D30" w:rsidP="008D2ADC">
            <w:pPr>
              <w:keepNext/>
              <w:keepLines/>
              <w:jc w:val="center"/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</w:pPr>
            <w:r w:rsidRPr="00275EAC"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  <w:t>Ciudad de México</w:t>
            </w:r>
          </w:p>
        </w:tc>
        <w:tc>
          <w:tcPr>
            <w:tcW w:w="146" w:type="dxa"/>
            <w:vAlign w:val="center"/>
          </w:tcPr>
          <w:p w14:paraId="2874BBC8" w14:textId="77777777" w:rsidR="00E84D30" w:rsidRPr="00275EAC" w:rsidRDefault="00E84D30" w:rsidP="008D2ADC">
            <w:pPr>
              <w:keepNext/>
              <w:keepLines/>
              <w:jc w:val="center"/>
              <w:rPr>
                <w:bCs/>
                <w:snapToGrid w:val="0"/>
                <w:sz w:val="18"/>
                <w:szCs w:val="20"/>
                <w:lang w:val="es-ES"/>
              </w:rPr>
            </w:pPr>
          </w:p>
        </w:tc>
        <w:tc>
          <w:tcPr>
            <w:tcW w:w="4914" w:type="dxa"/>
            <w:vAlign w:val="center"/>
            <w:hideMark/>
          </w:tcPr>
          <w:p w14:paraId="2154A6D3" w14:textId="77777777" w:rsidR="00E84D30" w:rsidRPr="00275EAC" w:rsidRDefault="00E84D30" w:rsidP="008D2ADC">
            <w:pPr>
              <w:keepNext/>
              <w:keepLines/>
              <w:jc w:val="center"/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</w:pPr>
            <w:r w:rsidRPr="00275EAC"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  <w:t>Durango</w:t>
            </w:r>
          </w:p>
        </w:tc>
      </w:tr>
      <w:tr w:rsidR="00E84D30" w:rsidRPr="00C37EE8" w14:paraId="0C0950E4" w14:textId="77777777" w:rsidTr="00FF08CD">
        <w:trPr>
          <w:trHeight w:hRule="exact" w:val="2268"/>
          <w:jc w:val="center"/>
        </w:trPr>
        <w:tc>
          <w:tcPr>
            <w:tcW w:w="4914" w:type="dxa"/>
            <w:hideMark/>
          </w:tcPr>
          <w:p w14:paraId="1310FB84" w14:textId="54A9F000" w:rsidR="00E84D30" w:rsidRPr="00C37EE8" w:rsidRDefault="00AC3A14" w:rsidP="008D2ADC">
            <w:pPr>
              <w:keepNext/>
              <w:keepLines/>
              <w:rPr>
                <w:bCs/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166924D1" wp14:editId="6783004E">
                  <wp:extent cx="3060000" cy="1440000"/>
                  <wp:effectExtent l="0" t="0" r="0" b="0"/>
                  <wp:docPr id="69407063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146" w:type="dxa"/>
          </w:tcPr>
          <w:p w14:paraId="0D8DB2E6" w14:textId="77777777" w:rsidR="00E84D30" w:rsidRPr="00C37EE8" w:rsidRDefault="00E84D30" w:rsidP="008D2ADC">
            <w:pPr>
              <w:keepNext/>
              <w:keepLines/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  <w:hideMark/>
          </w:tcPr>
          <w:p w14:paraId="1014E106" w14:textId="1558BD33" w:rsidR="00E84D30" w:rsidRPr="00C37EE8" w:rsidRDefault="00AC3A14" w:rsidP="008D2ADC">
            <w:pPr>
              <w:keepNext/>
              <w:keepLines/>
              <w:rPr>
                <w:bCs/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085F0D25" wp14:editId="27AF95F1">
                  <wp:extent cx="3060000" cy="1440000"/>
                  <wp:effectExtent l="0" t="0" r="0" b="0"/>
                  <wp:docPr id="72062759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  <w:tr w:rsidR="00E84D30" w:rsidRPr="00C37EE8" w14:paraId="2070DE85" w14:textId="77777777" w:rsidTr="00FF08CD">
        <w:trPr>
          <w:trHeight w:hRule="exact" w:val="113"/>
          <w:jc w:val="center"/>
        </w:trPr>
        <w:tc>
          <w:tcPr>
            <w:tcW w:w="4914" w:type="dxa"/>
            <w:vAlign w:val="bottom"/>
          </w:tcPr>
          <w:p w14:paraId="5C70E6A9" w14:textId="77777777" w:rsidR="00E84D30" w:rsidRPr="00C37EE8" w:rsidRDefault="00E84D30" w:rsidP="008D2ADC">
            <w:pPr>
              <w:jc w:val="center"/>
              <w:rPr>
                <w:bCs/>
                <w:snapToGrid w:val="0"/>
                <w:color w:val="4D565E"/>
                <w:sz w:val="20"/>
                <w:szCs w:val="22"/>
                <w:lang w:val="es-ES"/>
              </w:rPr>
            </w:pPr>
          </w:p>
        </w:tc>
        <w:tc>
          <w:tcPr>
            <w:tcW w:w="146" w:type="dxa"/>
            <w:vAlign w:val="bottom"/>
          </w:tcPr>
          <w:p w14:paraId="724DC532" w14:textId="77777777" w:rsidR="00E84D30" w:rsidRPr="00C37EE8" w:rsidRDefault="00E84D30" w:rsidP="008D2ADC">
            <w:pPr>
              <w:jc w:val="center"/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  <w:vAlign w:val="bottom"/>
          </w:tcPr>
          <w:p w14:paraId="2C930D45" w14:textId="77777777" w:rsidR="00E84D30" w:rsidRPr="00C37EE8" w:rsidRDefault="00E84D30" w:rsidP="008D2ADC">
            <w:pPr>
              <w:jc w:val="center"/>
              <w:rPr>
                <w:bCs/>
                <w:snapToGrid w:val="0"/>
                <w:color w:val="4D565E"/>
                <w:sz w:val="20"/>
                <w:szCs w:val="22"/>
                <w:lang w:val="es-ES"/>
              </w:rPr>
            </w:pPr>
          </w:p>
        </w:tc>
      </w:tr>
      <w:tr w:rsidR="00E84D30" w:rsidRPr="00875036" w14:paraId="0C1FBD05" w14:textId="77777777" w:rsidTr="00FF08CD">
        <w:trPr>
          <w:trHeight w:hRule="exact" w:val="340"/>
          <w:jc w:val="center"/>
        </w:trPr>
        <w:tc>
          <w:tcPr>
            <w:tcW w:w="4914" w:type="dxa"/>
            <w:vAlign w:val="center"/>
            <w:hideMark/>
          </w:tcPr>
          <w:p w14:paraId="25154E9D" w14:textId="77777777" w:rsidR="00E84D30" w:rsidRPr="00275EAC" w:rsidRDefault="00E84D30" w:rsidP="008D2ADC">
            <w:pPr>
              <w:jc w:val="center"/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</w:pPr>
            <w:r w:rsidRPr="00275EAC"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  <w:t>Guanajuato</w:t>
            </w:r>
          </w:p>
        </w:tc>
        <w:tc>
          <w:tcPr>
            <w:tcW w:w="146" w:type="dxa"/>
            <w:vAlign w:val="center"/>
          </w:tcPr>
          <w:p w14:paraId="3D759CA6" w14:textId="77777777" w:rsidR="00E84D30" w:rsidRPr="00275EAC" w:rsidRDefault="00E84D30" w:rsidP="008D2ADC">
            <w:pPr>
              <w:jc w:val="center"/>
              <w:rPr>
                <w:bCs/>
                <w:snapToGrid w:val="0"/>
                <w:sz w:val="18"/>
                <w:szCs w:val="20"/>
                <w:lang w:val="es-ES"/>
              </w:rPr>
            </w:pPr>
          </w:p>
        </w:tc>
        <w:tc>
          <w:tcPr>
            <w:tcW w:w="4914" w:type="dxa"/>
            <w:vAlign w:val="center"/>
            <w:hideMark/>
          </w:tcPr>
          <w:p w14:paraId="64076E4F" w14:textId="77777777" w:rsidR="00E84D30" w:rsidRPr="00275EAC" w:rsidRDefault="00E84D30" w:rsidP="008D2ADC">
            <w:pPr>
              <w:jc w:val="center"/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</w:pPr>
            <w:r w:rsidRPr="00275EAC"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  <w:t>Guerrero</w:t>
            </w:r>
          </w:p>
        </w:tc>
      </w:tr>
      <w:tr w:rsidR="00E84D30" w:rsidRPr="00C37EE8" w14:paraId="0CE92E10" w14:textId="77777777" w:rsidTr="00FF08CD">
        <w:trPr>
          <w:trHeight w:hRule="exact" w:val="2268"/>
          <w:jc w:val="center"/>
        </w:trPr>
        <w:tc>
          <w:tcPr>
            <w:tcW w:w="4914" w:type="dxa"/>
            <w:hideMark/>
          </w:tcPr>
          <w:p w14:paraId="38A32702" w14:textId="2270B842" w:rsidR="00E84D30" w:rsidRPr="00C37EE8" w:rsidRDefault="00AC3A14" w:rsidP="008D2ADC">
            <w:pPr>
              <w:rPr>
                <w:bCs/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59597F56" wp14:editId="1617FDB8">
                  <wp:extent cx="3060000" cy="1440000"/>
                  <wp:effectExtent l="0" t="0" r="0" b="0"/>
                  <wp:docPr id="24031466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  <w:tc>
          <w:tcPr>
            <w:tcW w:w="146" w:type="dxa"/>
          </w:tcPr>
          <w:p w14:paraId="661C486C" w14:textId="77777777" w:rsidR="00E84D30" w:rsidRPr="00C37EE8" w:rsidRDefault="00E84D30" w:rsidP="008D2ADC">
            <w:pPr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  <w:hideMark/>
          </w:tcPr>
          <w:p w14:paraId="66134920" w14:textId="23DB4DBA" w:rsidR="00E84D30" w:rsidRPr="00C37EE8" w:rsidRDefault="00AC3A14" w:rsidP="008D2ADC">
            <w:pPr>
              <w:rPr>
                <w:bCs/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2F419051" wp14:editId="316D340B">
                  <wp:extent cx="3060000" cy="1440000"/>
                  <wp:effectExtent l="0" t="0" r="0" b="0"/>
                  <wp:docPr id="1322343655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</w:tr>
      <w:tr w:rsidR="00E84D30" w:rsidRPr="00C37EE8" w14:paraId="6B4E3C8F" w14:textId="77777777" w:rsidTr="00FF08CD">
        <w:trPr>
          <w:trHeight w:hRule="exact" w:val="113"/>
          <w:jc w:val="center"/>
        </w:trPr>
        <w:tc>
          <w:tcPr>
            <w:tcW w:w="4914" w:type="dxa"/>
          </w:tcPr>
          <w:p w14:paraId="6898E2B1" w14:textId="77777777" w:rsidR="00E84D30" w:rsidRPr="00C37EE8" w:rsidRDefault="00E84D30" w:rsidP="008D2ADC">
            <w:pPr>
              <w:rPr>
                <w:noProof/>
              </w:rPr>
            </w:pPr>
          </w:p>
        </w:tc>
        <w:tc>
          <w:tcPr>
            <w:tcW w:w="146" w:type="dxa"/>
          </w:tcPr>
          <w:p w14:paraId="4C3D9A0F" w14:textId="77777777" w:rsidR="00E84D30" w:rsidRPr="00C37EE8" w:rsidRDefault="00E84D30" w:rsidP="008D2ADC">
            <w:pPr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</w:tcPr>
          <w:p w14:paraId="724C11A8" w14:textId="77777777" w:rsidR="00E84D30" w:rsidRPr="00C37EE8" w:rsidRDefault="00E84D30" w:rsidP="008D2ADC">
            <w:pPr>
              <w:rPr>
                <w:noProof/>
              </w:rPr>
            </w:pPr>
          </w:p>
        </w:tc>
      </w:tr>
      <w:tr w:rsidR="00E84D30" w:rsidRPr="00875036" w14:paraId="77DFB1A6" w14:textId="77777777" w:rsidTr="00FF08CD">
        <w:trPr>
          <w:trHeight w:hRule="exact" w:val="340"/>
          <w:jc w:val="center"/>
        </w:trPr>
        <w:tc>
          <w:tcPr>
            <w:tcW w:w="4914" w:type="dxa"/>
            <w:vAlign w:val="center"/>
            <w:hideMark/>
          </w:tcPr>
          <w:p w14:paraId="337634C2" w14:textId="77777777" w:rsidR="00E84D30" w:rsidRPr="00275EAC" w:rsidRDefault="00E84D30" w:rsidP="008D2ADC">
            <w:pPr>
              <w:jc w:val="center"/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</w:pPr>
            <w:r w:rsidRPr="00275EAC"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  <w:t>Hidalgo</w:t>
            </w:r>
          </w:p>
        </w:tc>
        <w:tc>
          <w:tcPr>
            <w:tcW w:w="146" w:type="dxa"/>
            <w:vAlign w:val="center"/>
          </w:tcPr>
          <w:p w14:paraId="58D2C53A" w14:textId="77777777" w:rsidR="00E84D30" w:rsidRPr="00275EAC" w:rsidRDefault="00E84D30" w:rsidP="008D2ADC">
            <w:pPr>
              <w:jc w:val="center"/>
              <w:rPr>
                <w:bCs/>
                <w:snapToGrid w:val="0"/>
                <w:sz w:val="18"/>
                <w:szCs w:val="20"/>
                <w:lang w:val="es-ES"/>
              </w:rPr>
            </w:pPr>
          </w:p>
        </w:tc>
        <w:tc>
          <w:tcPr>
            <w:tcW w:w="4914" w:type="dxa"/>
            <w:vAlign w:val="center"/>
            <w:hideMark/>
          </w:tcPr>
          <w:p w14:paraId="28E5183D" w14:textId="77777777" w:rsidR="00E84D30" w:rsidRPr="00BE1162" w:rsidRDefault="00E84D30" w:rsidP="008D2ADC">
            <w:pPr>
              <w:jc w:val="center"/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</w:pPr>
            <w:r w:rsidRPr="00BE1162"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  <w:t>Jalisco</w:t>
            </w:r>
          </w:p>
        </w:tc>
      </w:tr>
      <w:tr w:rsidR="00E84D30" w:rsidRPr="00C37EE8" w14:paraId="3FC11972" w14:textId="77777777" w:rsidTr="00FF08CD">
        <w:trPr>
          <w:trHeight w:hRule="exact" w:val="2268"/>
          <w:jc w:val="center"/>
        </w:trPr>
        <w:tc>
          <w:tcPr>
            <w:tcW w:w="4914" w:type="dxa"/>
            <w:hideMark/>
          </w:tcPr>
          <w:p w14:paraId="5BAF372C" w14:textId="7A007EE2" w:rsidR="00E84D30" w:rsidRPr="00C37EE8" w:rsidRDefault="00AC3A14" w:rsidP="008D2ADC">
            <w:pPr>
              <w:rPr>
                <w:bCs/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00108A62" wp14:editId="722C3DFC">
                  <wp:extent cx="3060000" cy="1440000"/>
                  <wp:effectExtent l="0" t="0" r="0" b="0"/>
                  <wp:docPr id="157358900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  <w:tc>
          <w:tcPr>
            <w:tcW w:w="146" w:type="dxa"/>
          </w:tcPr>
          <w:p w14:paraId="6BE47537" w14:textId="77777777" w:rsidR="00E84D30" w:rsidRPr="00C37EE8" w:rsidRDefault="00E84D30" w:rsidP="008D2ADC">
            <w:pPr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  <w:hideMark/>
          </w:tcPr>
          <w:p w14:paraId="36719DD7" w14:textId="070E0163" w:rsidR="00E84D30" w:rsidRPr="00C37EE8" w:rsidRDefault="00AC3A14" w:rsidP="008D2ADC">
            <w:pPr>
              <w:rPr>
                <w:bCs/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3F57F5F3" wp14:editId="55CA3980">
                  <wp:extent cx="3060000" cy="1440000"/>
                  <wp:effectExtent l="0" t="0" r="0" b="0"/>
                  <wp:docPr id="1471294533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F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</w:tr>
      <w:tr w:rsidR="00E84D30" w:rsidRPr="002606AC" w14:paraId="6184B8C2" w14:textId="77777777" w:rsidTr="00FF08CD">
        <w:trPr>
          <w:trHeight w:hRule="exact" w:val="170"/>
          <w:jc w:val="center"/>
        </w:trPr>
        <w:tc>
          <w:tcPr>
            <w:tcW w:w="4914" w:type="dxa"/>
            <w:vAlign w:val="bottom"/>
          </w:tcPr>
          <w:p w14:paraId="6DFA0A2C" w14:textId="77777777" w:rsidR="00E84D30" w:rsidRPr="00C37EE8" w:rsidRDefault="00E84D30" w:rsidP="008D2ADC">
            <w:pPr>
              <w:keepNext/>
              <w:keepLines/>
              <w:jc w:val="center"/>
              <w:rPr>
                <w:bCs/>
                <w:snapToGrid w:val="0"/>
                <w:color w:val="4D565E"/>
                <w:sz w:val="20"/>
                <w:szCs w:val="22"/>
                <w:lang w:val="es-ES"/>
              </w:rPr>
            </w:pPr>
          </w:p>
        </w:tc>
        <w:tc>
          <w:tcPr>
            <w:tcW w:w="146" w:type="dxa"/>
            <w:vAlign w:val="bottom"/>
          </w:tcPr>
          <w:p w14:paraId="2C651912" w14:textId="77777777" w:rsidR="00E84D30" w:rsidRPr="00C37EE8" w:rsidRDefault="00E84D30" w:rsidP="008D2ADC">
            <w:pPr>
              <w:keepNext/>
              <w:keepLines/>
              <w:jc w:val="center"/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  <w:vAlign w:val="bottom"/>
          </w:tcPr>
          <w:p w14:paraId="3D7F8E59" w14:textId="77777777" w:rsidR="00E84D30" w:rsidRPr="002606AC" w:rsidRDefault="00E84D30" w:rsidP="008D2ADC">
            <w:pPr>
              <w:keepNext/>
              <w:keepLines/>
              <w:jc w:val="right"/>
              <w:rPr>
                <w:bCs/>
                <w:snapToGrid w:val="0"/>
                <w:color w:val="4D565E"/>
                <w:sz w:val="20"/>
                <w:szCs w:val="22"/>
                <w:lang w:val="es-ES"/>
              </w:rPr>
            </w:pPr>
            <w:r w:rsidRPr="00C33212">
              <w:rPr>
                <w:bCs/>
                <w:snapToGrid w:val="0"/>
                <w:color w:val="4D565E"/>
                <w:sz w:val="16"/>
                <w:szCs w:val="16"/>
                <w:lang w:val="es-ES"/>
              </w:rPr>
              <w:t>(continuación)</w:t>
            </w:r>
          </w:p>
        </w:tc>
      </w:tr>
      <w:tr w:rsidR="00E84D30" w:rsidRPr="00875036" w14:paraId="027F3593" w14:textId="77777777" w:rsidTr="00FF08CD">
        <w:trPr>
          <w:trHeight w:hRule="exact" w:val="340"/>
          <w:jc w:val="center"/>
        </w:trPr>
        <w:tc>
          <w:tcPr>
            <w:tcW w:w="4914" w:type="dxa"/>
            <w:vAlign w:val="center"/>
            <w:hideMark/>
          </w:tcPr>
          <w:p w14:paraId="3BB0CECE" w14:textId="77777777" w:rsidR="00E84D30" w:rsidRPr="00275EAC" w:rsidRDefault="00E84D30" w:rsidP="008D2ADC">
            <w:pPr>
              <w:keepNext/>
              <w:keepLines/>
              <w:jc w:val="center"/>
              <w:rPr>
                <w:bCs/>
                <w:snapToGrid w:val="0"/>
                <w:color w:val="4D565E"/>
                <w:sz w:val="18"/>
                <w:szCs w:val="18"/>
                <w:lang w:val="es-ES"/>
              </w:rPr>
            </w:pPr>
            <w:r w:rsidRPr="00275EAC">
              <w:rPr>
                <w:bCs/>
                <w:snapToGrid w:val="0"/>
                <w:color w:val="4D565E"/>
                <w:sz w:val="18"/>
                <w:szCs w:val="18"/>
                <w:lang w:val="es-ES"/>
              </w:rPr>
              <w:t>México</w:t>
            </w:r>
          </w:p>
        </w:tc>
        <w:tc>
          <w:tcPr>
            <w:tcW w:w="146" w:type="dxa"/>
            <w:vAlign w:val="center"/>
          </w:tcPr>
          <w:p w14:paraId="08FA96FF" w14:textId="77777777" w:rsidR="00E84D30" w:rsidRPr="00275EAC" w:rsidRDefault="00E84D30" w:rsidP="008D2ADC">
            <w:pPr>
              <w:keepNext/>
              <w:keepLines/>
              <w:jc w:val="center"/>
              <w:rPr>
                <w:bCs/>
                <w:snapToGrid w:val="0"/>
                <w:sz w:val="18"/>
                <w:szCs w:val="18"/>
                <w:lang w:val="es-ES"/>
              </w:rPr>
            </w:pPr>
          </w:p>
        </w:tc>
        <w:tc>
          <w:tcPr>
            <w:tcW w:w="4914" w:type="dxa"/>
            <w:vAlign w:val="center"/>
            <w:hideMark/>
          </w:tcPr>
          <w:p w14:paraId="107F662B" w14:textId="77777777" w:rsidR="00E84D30" w:rsidRPr="00275EAC" w:rsidRDefault="00E84D30" w:rsidP="008D2ADC">
            <w:pPr>
              <w:keepNext/>
              <w:keepLines/>
              <w:jc w:val="center"/>
              <w:rPr>
                <w:bCs/>
                <w:snapToGrid w:val="0"/>
                <w:color w:val="4D565E"/>
                <w:sz w:val="18"/>
                <w:szCs w:val="18"/>
                <w:lang w:val="es-ES"/>
              </w:rPr>
            </w:pPr>
            <w:r w:rsidRPr="00275EAC">
              <w:rPr>
                <w:bCs/>
                <w:snapToGrid w:val="0"/>
                <w:color w:val="4D565E"/>
                <w:sz w:val="18"/>
                <w:szCs w:val="18"/>
                <w:lang w:val="es-ES"/>
              </w:rPr>
              <w:t>Michoacán de Ocampo</w:t>
            </w:r>
          </w:p>
        </w:tc>
      </w:tr>
      <w:tr w:rsidR="00E84D30" w:rsidRPr="00C37EE8" w14:paraId="7D8A5094" w14:textId="77777777" w:rsidTr="00624B50">
        <w:trPr>
          <w:trHeight w:hRule="exact" w:val="2268"/>
          <w:jc w:val="center"/>
        </w:trPr>
        <w:tc>
          <w:tcPr>
            <w:tcW w:w="4914" w:type="dxa"/>
            <w:hideMark/>
          </w:tcPr>
          <w:p w14:paraId="6536F37C" w14:textId="188FAACF" w:rsidR="00E84D30" w:rsidRPr="00A64501" w:rsidRDefault="00624B50" w:rsidP="008D2ADC">
            <w:pPr>
              <w:rPr>
                <w:bCs/>
                <w:snapToGrid w:val="0"/>
                <w:color w:val="C0C0C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5A988251" wp14:editId="02785289">
                  <wp:extent cx="3060000" cy="1440000"/>
                  <wp:effectExtent l="0" t="0" r="0" b="8255"/>
                  <wp:docPr id="1562718635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  <w:tc>
          <w:tcPr>
            <w:tcW w:w="146" w:type="dxa"/>
          </w:tcPr>
          <w:p w14:paraId="0827C6E7" w14:textId="77777777" w:rsidR="00E84D30" w:rsidRPr="00C37EE8" w:rsidRDefault="00E84D30" w:rsidP="008D2ADC">
            <w:pPr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  <w:hideMark/>
          </w:tcPr>
          <w:p w14:paraId="790630C8" w14:textId="06960B79" w:rsidR="00E84D30" w:rsidRPr="00A64501" w:rsidRDefault="00AC3A14" w:rsidP="008D2ADC">
            <w:pPr>
              <w:rPr>
                <w:bCs/>
                <w:snapToGrid w:val="0"/>
                <w:color w:val="000000"/>
                <w:sz w:val="20"/>
                <w:szCs w:val="22"/>
                <w:lang w:val="es-ES"/>
              </w:rPr>
            </w:pPr>
            <w:r w:rsidRPr="00A64501">
              <w:rPr>
                <w:noProof/>
                <w:color w:val="000000"/>
              </w:rPr>
              <w:drawing>
                <wp:inline distT="0" distB="0" distL="0" distR="0" wp14:anchorId="4542DF00" wp14:editId="3171DCC2">
                  <wp:extent cx="3060000" cy="1440000"/>
                  <wp:effectExtent l="0" t="0" r="0" b="0"/>
                  <wp:docPr id="253930097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</w:tr>
      <w:tr w:rsidR="00E84D30" w:rsidRPr="00C37EE8" w14:paraId="060694DA" w14:textId="77777777" w:rsidTr="00FF08CD">
        <w:trPr>
          <w:trHeight w:hRule="exact" w:val="113"/>
          <w:jc w:val="center"/>
        </w:trPr>
        <w:tc>
          <w:tcPr>
            <w:tcW w:w="4914" w:type="dxa"/>
          </w:tcPr>
          <w:p w14:paraId="3E423B92" w14:textId="77777777" w:rsidR="00E84D30" w:rsidRPr="00C37EE8" w:rsidRDefault="00E84D30" w:rsidP="008D2ADC">
            <w:pPr>
              <w:rPr>
                <w:noProof/>
              </w:rPr>
            </w:pPr>
          </w:p>
        </w:tc>
        <w:tc>
          <w:tcPr>
            <w:tcW w:w="146" w:type="dxa"/>
          </w:tcPr>
          <w:p w14:paraId="0DF428FB" w14:textId="77777777" w:rsidR="00E84D30" w:rsidRPr="00C37EE8" w:rsidRDefault="00E84D30" w:rsidP="008D2ADC">
            <w:pPr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</w:tcPr>
          <w:p w14:paraId="6AD4EFF6" w14:textId="77777777" w:rsidR="00E84D30" w:rsidRPr="00C37EE8" w:rsidRDefault="00E84D30" w:rsidP="008D2ADC">
            <w:pPr>
              <w:rPr>
                <w:noProof/>
              </w:rPr>
            </w:pPr>
          </w:p>
        </w:tc>
      </w:tr>
      <w:tr w:rsidR="00E84D30" w:rsidRPr="00875036" w14:paraId="36EA3D92" w14:textId="77777777" w:rsidTr="00FF08CD">
        <w:trPr>
          <w:trHeight w:hRule="exact" w:val="340"/>
          <w:jc w:val="center"/>
        </w:trPr>
        <w:tc>
          <w:tcPr>
            <w:tcW w:w="4914" w:type="dxa"/>
            <w:vAlign w:val="center"/>
            <w:hideMark/>
          </w:tcPr>
          <w:p w14:paraId="458912A3" w14:textId="77777777" w:rsidR="00E84D30" w:rsidRPr="00275EAC" w:rsidRDefault="00E84D30" w:rsidP="008D2ADC">
            <w:pPr>
              <w:jc w:val="center"/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</w:pPr>
            <w:r w:rsidRPr="00275EAC"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  <w:t>Morelos</w:t>
            </w:r>
          </w:p>
        </w:tc>
        <w:tc>
          <w:tcPr>
            <w:tcW w:w="146" w:type="dxa"/>
            <w:vAlign w:val="center"/>
          </w:tcPr>
          <w:p w14:paraId="369CCDD5" w14:textId="77777777" w:rsidR="00E84D30" w:rsidRPr="00275EAC" w:rsidRDefault="00E84D30" w:rsidP="008D2ADC">
            <w:pPr>
              <w:jc w:val="center"/>
              <w:rPr>
                <w:bCs/>
                <w:snapToGrid w:val="0"/>
                <w:sz w:val="18"/>
                <w:szCs w:val="20"/>
                <w:lang w:val="es-ES"/>
              </w:rPr>
            </w:pPr>
          </w:p>
        </w:tc>
        <w:tc>
          <w:tcPr>
            <w:tcW w:w="4914" w:type="dxa"/>
            <w:vAlign w:val="center"/>
            <w:hideMark/>
          </w:tcPr>
          <w:p w14:paraId="38913D52" w14:textId="77777777" w:rsidR="00E84D30" w:rsidRPr="00275EAC" w:rsidRDefault="00E84D30" w:rsidP="008D2ADC">
            <w:pPr>
              <w:jc w:val="center"/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</w:pPr>
            <w:r w:rsidRPr="00275EAC"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  <w:t>Nayarit</w:t>
            </w:r>
          </w:p>
        </w:tc>
      </w:tr>
      <w:tr w:rsidR="00E84D30" w:rsidRPr="00C37EE8" w14:paraId="02C88BFA" w14:textId="77777777" w:rsidTr="00FF08CD">
        <w:trPr>
          <w:trHeight w:hRule="exact" w:val="2268"/>
          <w:jc w:val="center"/>
        </w:trPr>
        <w:tc>
          <w:tcPr>
            <w:tcW w:w="4914" w:type="dxa"/>
            <w:hideMark/>
          </w:tcPr>
          <w:p w14:paraId="5348C827" w14:textId="564789AA" w:rsidR="00E84D30" w:rsidRPr="00C37EE8" w:rsidRDefault="00AC3A14" w:rsidP="008D2ADC">
            <w:pPr>
              <w:rPr>
                <w:bCs/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117922B7" wp14:editId="45724650">
                  <wp:extent cx="3060000" cy="1440000"/>
                  <wp:effectExtent l="0" t="0" r="0" b="0"/>
                  <wp:docPr id="1496132585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  <w:tc>
          <w:tcPr>
            <w:tcW w:w="146" w:type="dxa"/>
          </w:tcPr>
          <w:p w14:paraId="2A337043" w14:textId="77777777" w:rsidR="00E84D30" w:rsidRPr="00C37EE8" w:rsidRDefault="00E84D30" w:rsidP="008D2ADC">
            <w:pPr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  <w:hideMark/>
          </w:tcPr>
          <w:p w14:paraId="126689FE" w14:textId="265941A5" w:rsidR="00E84D30" w:rsidRPr="00C37EE8" w:rsidRDefault="00AC3A14" w:rsidP="008D2ADC">
            <w:pPr>
              <w:rPr>
                <w:bCs/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4938149B" wp14:editId="65FF21D1">
                  <wp:extent cx="3060000" cy="1440000"/>
                  <wp:effectExtent l="0" t="0" r="0" b="0"/>
                  <wp:docPr id="92932008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</w:tr>
      <w:tr w:rsidR="00E84D30" w:rsidRPr="00C37EE8" w14:paraId="2D87D89D" w14:textId="77777777" w:rsidTr="00FF08CD">
        <w:trPr>
          <w:trHeight w:hRule="exact" w:val="113"/>
          <w:jc w:val="center"/>
        </w:trPr>
        <w:tc>
          <w:tcPr>
            <w:tcW w:w="4914" w:type="dxa"/>
            <w:vAlign w:val="bottom"/>
          </w:tcPr>
          <w:p w14:paraId="62AE99DC" w14:textId="77777777" w:rsidR="00E84D30" w:rsidRPr="00C37EE8" w:rsidRDefault="00E84D30" w:rsidP="008D2ADC">
            <w:pPr>
              <w:keepNext/>
              <w:keepLines/>
              <w:jc w:val="center"/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146" w:type="dxa"/>
            <w:vAlign w:val="bottom"/>
          </w:tcPr>
          <w:p w14:paraId="5F5174EC" w14:textId="77777777" w:rsidR="00E84D30" w:rsidRPr="00C37EE8" w:rsidRDefault="00E84D30" w:rsidP="008D2ADC">
            <w:pPr>
              <w:keepNext/>
              <w:keepLines/>
              <w:jc w:val="center"/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  <w:vAlign w:val="bottom"/>
          </w:tcPr>
          <w:p w14:paraId="52FF7712" w14:textId="77777777" w:rsidR="00E84D30" w:rsidRPr="00C37EE8" w:rsidRDefault="00E84D30" w:rsidP="008D2ADC">
            <w:pPr>
              <w:keepNext/>
              <w:keepLines/>
              <w:jc w:val="right"/>
              <w:rPr>
                <w:bCs/>
                <w:snapToGrid w:val="0"/>
                <w:sz w:val="16"/>
                <w:szCs w:val="16"/>
                <w:lang w:val="es-ES"/>
              </w:rPr>
            </w:pPr>
          </w:p>
        </w:tc>
      </w:tr>
      <w:tr w:rsidR="00E84D30" w:rsidRPr="00875036" w14:paraId="16879AC3" w14:textId="77777777" w:rsidTr="00FF08CD">
        <w:trPr>
          <w:trHeight w:hRule="exact" w:val="340"/>
          <w:jc w:val="center"/>
        </w:trPr>
        <w:tc>
          <w:tcPr>
            <w:tcW w:w="4914" w:type="dxa"/>
            <w:vAlign w:val="center"/>
            <w:hideMark/>
          </w:tcPr>
          <w:p w14:paraId="4F8DC82A" w14:textId="77777777" w:rsidR="00E84D30" w:rsidRPr="00275EAC" w:rsidRDefault="00E84D30" w:rsidP="008D2ADC">
            <w:pPr>
              <w:jc w:val="center"/>
              <w:rPr>
                <w:bCs/>
                <w:snapToGrid w:val="0"/>
                <w:sz w:val="18"/>
                <w:szCs w:val="20"/>
                <w:lang w:val="es-ES"/>
              </w:rPr>
            </w:pPr>
            <w:r w:rsidRPr="00275EAC"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  <w:t>Nuevo León</w:t>
            </w:r>
          </w:p>
        </w:tc>
        <w:tc>
          <w:tcPr>
            <w:tcW w:w="146" w:type="dxa"/>
            <w:vAlign w:val="center"/>
          </w:tcPr>
          <w:p w14:paraId="0D44D7E4" w14:textId="77777777" w:rsidR="00E84D30" w:rsidRPr="00275EAC" w:rsidRDefault="00E84D30" w:rsidP="008D2ADC">
            <w:pPr>
              <w:keepNext/>
              <w:keepLines/>
              <w:jc w:val="center"/>
              <w:rPr>
                <w:bCs/>
                <w:snapToGrid w:val="0"/>
                <w:sz w:val="18"/>
                <w:szCs w:val="20"/>
                <w:lang w:val="es-ES"/>
              </w:rPr>
            </w:pPr>
          </w:p>
        </w:tc>
        <w:tc>
          <w:tcPr>
            <w:tcW w:w="4914" w:type="dxa"/>
            <w:vAlign w:val="center"/>
            <w:hideMark/>
          </w:tcPr>
          <w:p w14:paraId="251AF722" w14:textId="77777777" w:rsidR="00E84D30" w:rsidRPr="00275EAC" w:rsidRDefault="00E84D30" w:rsidP="008D2ADC">
            <w:pPr>
              <w:jc w:val="center"/>
              <w:rPr>
                <w:bCs/>
                <w:snapToGrid w:val="0"/>
                <w:sz w:val="18"/>
                <w:szCs w:val="20"/>
                <w:lang w:val="es-ES"/>
              </w:rPr>
            </w:pPr>
            <w:r w:rsidRPr="00275EAC"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  <w:t>Oaxaca</w:t>
            </w:r>
          </w:p>
        </w:tc>
      </w:tr>
      <w:tr w:rsidR="00E84D30" w:rsidRPr="00C37EE8" w14:paraId="13DB55CD" w14:textId="77777777" w:rsidTr="00FF08CD">
        <w:trPr>
          <w:trHeight w:hRule="exact" w:val="2268"/>
          <w:jc w:val="center"/>
        </w:trPr>
        <w:tc>
          <w:tcPr>
            <w:tcW w:w="4914" w:type="dxa"/>
            <w:hideMark/>
          </w:tcPr>
          <w:p w14:paraId="6B48E249" w14:textId="15546D4D" w:rsidR="00E84D30" w:rsidRPr="00C37EE8" w:rsidRDefault="00AC3A14" w:rsidP="008D2ADC">
            <w:pPr>
              <w:keepNext/>
              <w:keepLines/>
              <w:rPr>
                <w:bCs/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62F1F312" wp14:editId="07C14D1C">
                  <wp:extent cx="3060000" cy="1440000"/>
                  <wp:effectExtent l="0" t="0" r="0" b="0"/>
                  <wp:docPr id="211959027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  <w:tc>
          <w:tcPr>
            <w:tcW w:w="146" w:type="dxa"/>
          </w:tcPr>
          <w:p w14:paraId="661DF43E" w14:textId="77777777" w:rsidR="00E84D30" w:rsidRPr="00C37EE8" w:rsidRDefault="00E84D30" w:rsidP="008D2ADC">
            <w:pPr>
              <w:keepNext/>
              <w:keepLines/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  <w:hideMark/>
          </w:tcPr>
          <w:p w14:paraId="262FD3C1" w14:textId="436C0E4C" w:rsidR="00E84D30" w:rsidRPr="00C37EE8" w:rsidRDefault="00FF08CD" w:rsidP="008D2ADC">
            <w:pPr>
              <w:keepNext/>
              <w:keepLines/>
              <w:rPr>
                <w:bCs/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236D4DD5" wp14:editId="1DB7DA28">
                  <wp:extent cx="3060000" cy="1440000"/>
                  <wp:effectExtent l="0" t="0" r="0" b="0"/>
                  <wp:docPr id="31783437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</w:tr>
      <w:tr w:rsidR="00E84D30" w:rsidRPr="00C37EE8" w14:paraId="17AA78E2" w14:textId="77777777" w:rsidTr="00FF08CD">
        <w:trPr>
          <w:trHeight w:hRule="exact" w:val="113"/>
          <w:jc w:val="center"/>
        </w:trPr>
        <w:tc>
          <w:tcPr>
            <w:tcW w:w="4914" w:type="dxa"/>
          </w:tcPr>
          <w:p w14:paraId="60776646" w14:textId="77777777" w:rsidR="00E84D30" w:rsidRPr="00C37EE8" w:rsidRDefault="00E84D30" w:rsidP="008D2ADC">
            <w:pPr>
              <w:keepNext/>
              <w:keepLines/>
              <w:rPr>
                <w:noProof/>
              </w:rPr>
            </w:pPr>
          </w:p>
        </w:tc>
        <w:tc>
          <w:tcPr>
            <w:tcW w:w="146" w:type="dxa"/>
          </w:tcPr>
          <w:p w14:paraId="5F9B6C3C" w14:textId="77777777" w:rsidR="00E84D30" w:rsidRPr="00C37EE8" w:rsidRDefault="00E84D30" w:rsidP="008D2ADC">
            <w:pPr>
              <w:keepNext/>
              <w:keepLines/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</w:tcPr>
          <w:p w14:paraId="68942DB5" w14:textId="77777777" w:rsidR="00E84D30" w:rsidRPr="00C37EE8" w:rsidRDefault="00E84D30" w:rsidP="008D2ADC">
            <w:pPr>
              <w:keepNext/>
              <w:keepLines/>
              <w:rPr>
                <w:noProof/>
              </w:rPr>
            </w:pPr>
          </w:p>
        </w:tc>
      </w:tr>
      <w:tr w:rsidR="00E84D30" w:rsidRPr="00875036" w14:paraId="13AAE15B" w14:textId="77777777" w:rsidTr="00FF08CD">
        <w:trPr>
          <w:trHeight w:hRule="exact" w:val="340"/>
          <w:jc w:val="center"/>
        </w:trPr>
        <w:tc>
          <w:tcPr>
            <w:tcW w:w="4914" w:type="dxa"/>
            <w:vAlign w:val="center"/>
            <w:hideMark/>
          </w:tcPr>
          <w:p w14:paraId="01EC40CF" w14:textId="77777777" w:rsidR="00E84D30" w:rsidRPr="00275EAC" w:rsidRDefault="00E84D30" w:rsidP="008D2ADC">
            <w:pPr>
              <w:jc w:val="center"/>
              <w:rPr>
                <w:bCs/>
                <w:snapToGrid w:val="0"/>
                <w:sz w:val="18"/>
                <w:szCs w:val="20"/>
                <w:lang w:val="es-ES"/>
              </w:rPr>
            </w:pPr>
            <w:r w:rsidRPr="00275EAC"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  <w:t>Puebla</w:t>
            </w:r>
          </w:p>
        </w:tc>
        <w:tc>
          <w:tcPr>
            <w:tcW w:w="146" w:type="dxa"/>
            <w:vAlign w:val="center"/>
          </w:tcPr>
          <w:p w14:paraId="5F7EFC58" w14:textId="77777777" w:rsidR="00E84D30" w:rsidRPr="00275EAC" w:rsidRDefault="00E84D30" w:rsidP="008D2ADC">
            <w:pPr>
              <w:jc w:val="center"/>
              <w:rPr>
                <w:bCs/>
                <w:snapToGrid w:val="0"/>
                <w:sz w:val="18"/>
                <w:szCs w:val="20"/>
                <w:lang w:val="es-ES"/>
              </w:rPr>
            </w:pPr>
          </w:p>
        </w:tc>
        <w:tc>
          <w:tcPr>
            <w:tcW w:w="4914" w:type="dxa"/>
            <w:vAlign w:val="center"/>
            <w:hideMark/>
          </w:tcPr>
          <w:p w14:paraId="25A3B030" w14:textId="77777777" w:rsidR="00E84D30" w:rsidRPr="00275EAC" w:rsidRDefault="00E84D30" w:rsidP="008D2ADC">
            <w:pPr>
              <w:jc w:val="center"/>
              <w:rPr>
                <w:bCs/>
                <w:snapToGrid w:val="0"/>
                <w:sz w:val="18"/>
                <w:szCs w:val="20"/>
                <w:lang w:val="es-ES"/>
              </w:rPr>
            </w:pPr>
            <w:r w:rsidRPr="00275EAC"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  <w:t>Querétaro</w:t>
            </w:r>
          </w:p>
        </w:tc>
      </w:tr>
      <w:tr w:rsidR="00E84D30" w:rsidRPr="00C37EE8" w14:paraId="3901EEFE" w14:textId="77777777" w:rsidTr="00FF08CD">
        <w:trPr>
          <w:trHeight w:hRule="exact" w:val="2268"/>
          <w:jc w:val="center"/>
        </w:trPr>
        <w:tc>
          <w:tcPr>
            <w:tcW w:w="4914" w:type="dxa"/>
            <w:hideMark/>
          </w:tcPr>
          <w:p w14:paraId="1D941137" w14:textId="391DEDEF" w:rsidR="00E84D30" w:rsidRPr="00C37EE8" w:rsidRDefault="00FF08CD" w:rsidP="008D2ADC">
            <w:pPr>
              <w:rPr>
                <w:bCs/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4C3DAA7D" wp14:editId="3138DFBD">
                  <wp:extent cx="3060000" cy="1440000"/>
                  <wp:effectExtent l="0" t="0" r="0" b="0"/>
                  <wp:docPr id="35126261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  <w:tc>
          <w:tcPr>
            <w:tcW w:w="146" w:type="dxa"/>
          </w:tcPr>
          <w:p w14:paraId="54652473" w14:textId="77777777" w:rsidR="00E84D30" w:rsidRPr="00C37EE8" w:rsidRDefault="00E84D30" w:rsidP="008D2ADC">
            <w:pPr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  <w:hideMark/>
          </w:tcPr>
          <w:p w14:paraId="473435D4" w14:textId="60C78729" w:rsidR="00E84D30" w:rsidRPr="00C37EE8" w:rsidRDefault="00FF08CD" w:rsidP="008D2ADC">
            <w:pPr>
              <w:rPr>
                <w:bCs/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61991BB7" wp14:editId="6DEC19C4">
                  <wp:extent cx="3060000" cy="1440000"/>
                  <wp:effectExtent l="0" t="0" r="0" b="0"/>
                  <wp:docPr id="481772967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</wp:inline>
              </w:drawing>
            </w:r>
          </w:p>
        </w:tc>
      </w:tr>
      <w:tr w:rsidR="00E84D30" w:rsidRPr="00C37EE8" w14:paraId="17B71E08" w14:textId="77777777" w:rsidTr="00FF08CD">
        <w:trPr>
          <w:trHeight w:hRule="exact" w:val="170"/>
          <w:jc w:val="center"/>
        </w:trPr>
        <w:tc>
          <w:tcPr>
            <w:tcW w:w="4914" w:type="dxa"/>
            <w:vAlign w:val="bottom"/>
          </w:tcPr>
          <w:p w14:paraId="1A3A4C1C" w14:textId="77777777" w:rsidR="00E84D30" w:rsidRPr="00C37EE8" w:rsidRDefault="00E84D30" w:rsidP="008D2ADC">
            <w:pPr>
              <w:keepNext/>
              <w:keepLines/>
              <w:jc w:val="center"/>
              <w:rPr>
                <w:bCs/>
                <w:snapToGrid w:val="0"/>
                <w:color w:val="4D565E"/>
                <w:sz w:val="20"/>
                <w:szCs w:val="22"/>
                <w:lang w:val="es-ES"/>
              </w:rPr>
            </w:pPr>
          </w:p>
        </w:tc>
        <w:tc>
          <w:tcPr>
            <w:tcW w:w="146" w:type="dxa"/>
            <w:vAlign w:val="bottom"/>
          </w:tcPr>
          <w:p w14:paraId="49868CBD" w14:textId="77777777" w:rsidR="00E84D30" w:rsidRPr="00C37EE8" w:rsidRDefault="00E84D30" w:rsidP="008D2ADC">
            <w:pPr>
              <w:keepNext/>
              <w:keepLines/>
              <w:jc w:val="center"/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  <w:vAlign w:val="bottom"/>
          </w:tcPr>
          <w:p w14:paraId="49D1FBD6" w14:textId="77777777" w:rsidR="00E84D30" w:rsidRPr="002606AC" w:rsidRDefault="00E84D30" w:rsidP="008D2ADC">
            <w:pPr>
              <w:keepNext/>
              <w:keepLines/>
              <w:jc w:val="right"/>
              <w:rPr>
                <w:bCs/>
                <w:snapToGrid w:val="0"/>
                <w:color w:val="4D565E"/>
                <w:sz w:val="20"/>
                <w:szCs w:val="22"/>
                <w:lang w:val="es-ES"/>
              </w:rPr>
            </w:pPr>
            <w:r w:rsidRPr="00C33212">
              <w:rPr>
                <w:bCs/>
                <w:snapToGrid w:val="0"/>
                <w:color w:val="4D565E"/>
                <w:sz w:val="16"/>
                <w:szCs w:val="16"/>
                <w:lang w:val="es-ES"/>
              </w:rPr>
              <w:t>(continuación)</w:t>
            </w:r>
          </w:p>
        </w:tc>
      </w:tr>
      <w:tr w:rsidR="00E84D30" w:rsidRPr="00875036" w14:paraId="6E89A850" w14:textId="77777777" w:rsidTr="00FF08CD">
        <w:trPr>
          <w:trHeight w:hRule="exact" w:val="340"/>
          <w:jc w:val="center"/>
        </w:trPr>
        <w:tc>
          <w:tcPr>
            <w:tcW w:w="4914" w:type="dxa"/>
            <w:vAlign w:val="center"/>
            <w:hideMark/>
          </w:tcPr>
          <w:p w14:paraId="6707D1DA" w14:textId="4A2323C8" w:rsidR="00E84D30" w:rsidRPr="00275EAC" w:rsidRDefault="00E84D30" w:rsidP="008D2ADC">
            <w:pPr>
              <w:keepNext/>
              <w:keepLines/>
              <w:jc w:val="center"/>
              <w:rPr>
                <w:bCs/>
                <w:snapToGrid w:val="0"/>
                <w:sz w:val="18"/>
                <w:szCs w:val="20"/>
                <w:lang w:val="es-ES"/>
              </w:rPr>
            </w:pPr>
            <w:r w:rsidRPr="00275EAC"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  <w:t>Quintana Roo</w:t>
            </w:r>
          </w:p>
        </w:tc>
        <w:tc>
          <w:tcPr>
            <w:tcW w:w="146" w:type="dxa"/>
            <w:vAlign w:val="center"/>
          </w:tcPr>
          <w:p w14:paraId="320A73D5" w14:textId="77777777" w:rsidR="00E84D30" w:rsidRPr="00275EAC" w:rsidRDefault="00E84D30" w:rsidP="008D2ADC">
            <w:pPr>
              <w:keepNext/>
              <w:keepLines/>
              <w:jc w:val="center"/>
              <w:rPr>
                <w:bCs/>
                <w:snapToGrid w:val="0"/>
                <w:sz w:val="18"/>
                <w:szCs w:val="20"/>
                <w:lang w:val="es-ES"/>
              </w:rPr>
            </w:pPr>
          </w:p>
        </w:tc>
        <w:tc>
          <w:tcPr>
            <w:tcW w:w="4914" w:type="dxa"/>
            <w:vAlign w:val="center"/>
            <w:hideMark/>
          </w:tcPr>
          <w:p w14:paraId="560A91D6" w14:textId="77777777" w:rsidR="00E84D30" w:rsidRPr="00275EAC" w:rsidRDefault="00E84D30" w:rsidP="008D2ADC">
            <w:pPr>
              <w:keepNext/>
              <w:keepLines/>
              <w:jc w:val="center"/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</w:pPr>
            <w:r w:rsidRPr="00275EAC"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  <w:t>San Luis Potosí</w:t>
            </w:r>
          </w:p>
        </w:tc>
      </w:tr>
      <w:tr w:rsidR="00E84D30" w:rsidRPr="00C37EE8" w14:paraId="001E7EFC" w14:textId="77777777" w:rsidTr="00FF08CD">
        <w:trPr>
          <w:trHeight w:hRule="exact" w:val="2268"/>
          <w:jc w:val="center"/>
        </w:trPr>
        <w:tc>
          <w:tcPr>
            <w:tcW w:w="4914" w:type="dxa"/>
            <w:hideMark/>
          </w:tcPr>
          <w:p w14:paraId="320B02A5" w14:textId="68E3F816" w:rsidR="00E84D30" w:rsidRPr="00C37EE8" w:rsidRDefault="00FF08CD" w:rsidP="008D2ADC">
            <w:pPr>
              <w:rPr>
                <w:bCs/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0CB15AD5" wp14:editId="15A578AE">
                  <wp:extent cx="3060000" cy="1440000"/>
                  <wp:effectExtent l="0" t="0" r="0" b="0"/>
                  <wp:docPr id="21241180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8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</w:tc>
        <w:tc>
          <w:tcPr>
            <w:tcW w:w="146" w:type="dxa"/>
          </w:tcPr>
          <w:p w14:paraId="6B7137E6" w14:textId="77777777" w:rsidR="00E84D30" w:rsidRPr="00C37EE8" w:rsidRDefault="00E84D30" w:rsidP="008D2ADC">
            <w:pPr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  <w:hideMark/>
          </w:tcPr>
          <w:p w14:paraId="717A6917" w14:textId="28592479" w:rsidR="00E84D30" w:rsidRPr="00C37EE8" w:rsidRDefault="00FF08CD" w:rsidP="008D2ADC">
            <w:pPr>
              <w:rPr>
                <w:bCs/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7ED90501" wp14:editId="08136416">
                  <wp:extent cx="3060000" cy="1440000"/>
                  <wp:effectExtent l="0" t="0" r="0" b="0"/>
                  <wp:docPr id="121251252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4"/>
                    </a:graphicData>
                  </a:graphic>
                </wp:inline>
              </w:drawing>
            </w:r>
          </w:p>
        </w:tc>
      </w:tr>
      <w:tr w:rsidR="00E84D30" w:rsidRPr="00C37EE8" w14:paraId="3108D9C9" w14:textId="77777777" w:rsidTr="00FF08CD">
        <w:trPr>
          <w:trHeight w:hRule="exact" w:val="113"/>
          <w:jc w:val="center"/>
        </w:trPr>
        <w:tc>
          <w:tcPr>
            <w:tcW w:w="4914" w:type="dxa"/>
            <w:vAlign w:val="bottom"/>
          </w:tcPr>
          <w:p w14:paraId="2CFA451E" w14:textId="77777777" w:rsidR="00E84D30" w:rsidRPr="00C37EE8" w:rsidRDefault="00E84D30" w:rsidP="008D2ADC">
            <w:pPr>
              <w:jc w:val="center"/>
              <w:rPr>
                <w:bCs/>
                <w:snapToGrid w:val="0"/>
                <w:color w:val="4D565E"/>
                <w:sz w:val="20"/>
                <w:szCs w:val="22"/>
                <w:lang w:val="es-ES"/>
              </w:rPr>
            </w:pPr>
          </w:p>
        </w:tc>
        <w:tc>
          <w:tcPr>
            <w:tcW w:w="146" w:type="dxa"/>
            <w:vAlign w:val="bottom"/>
          </w:tcPr>
          <w:p w14:paraId="183A52E3" w14:textId="77777777" w:rsidR="00E84D30" w:rsidRPr="00C37EE8" w:rsidRDefault="00E84D30" w:rsidP="008D2ADC">
            <w:pPr>
              <w:jc w:val="center"/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  <w:vAlign w:val="bottom"/>
          </w:tcPr>
          <w:p w14:paraId="108A9F2A" w14:textId="77777777" w:rsidR="00E84D30" w:rsidRPr="00C37EE8" w:rsidRDefault="00E84D30" w:rsidP="008D2ADC">
            <w:pPr>
              <w:jc w:val="center"/>
              <w:rPr>
                <w:bCs/>
                <w:snapToGrid w:val="0"/>
                <w:color w:val="4D565E"/>
                <w:sz w:val="20"/>
                <w:szCs w:val="22"/>
                <w:lang w:val="es-ES"/>
              </w:rPr>
            </w:pPr>
          </w:p>
        </w:tc>
      </w:tr>
      <w:tr w:rsidR="00E84D30" w:rsidRPr="00BD51EA" w14:paraId="339B2AA2" w14:textId="77777777" w:rsidTr="00FF08CD">
        <w:trPr>
          <w:trHeight w:hRule="exact" w:val="340"/>
          <w:jc w:val="center"/>
        </w:trPr>
        <w:tc>
          <w:tcPr>
            <w:tcW w:w="4914" w:type="dxa"/>
            <w:vAlign w:val="center"/>
            <w:hideMark/>
          </w:tcPr>
          <w:p w14:paraId="3B97D175" w14:textId="77777777" w:rsidR="00E84D30" w:rsidRPr="00275EAC" w:rsidRDefault="00E84D30" w:rsidP="008D2ADC">
            <w:pPr>
              <w:jc w:val="center"/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</w:pPr>
            <w:r w:rsidRPr="00275EAC"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  <w:t>Sinaloa</w:t>
            </w:r>
          </w:p>
        </w:tc>
        <w:tc>
          <w:tcPr>
            <w:tcW w:w="146" w:type="dxa"/>
            <w:vAlign w:val="center"/>
          </w:tcPr>
          <w:p w14:paraId="4A4B3C63" w14:textId="77777777" w:rsidR="00E84D30" w:rsidRPr="00275EAC" w:rsidRDefault="00E84D30" w:rsidP="008D2ADC">
            <w:pPr>
              <w:jc w:val="center"/>
              <w:rPr>
                <w:bCs/>
                <w:snapToGrid w:val="0"/>
                <w:sz w:val="18"/>
                <w:szCs w:val="20"/>
                <w:lang w:val="es-ES"/>
              </w:rPr>
            </w:pPr>
          </w:p>
        </w:tc>
        <w:tc>
          <w:tcPr>
            <w:tcW w:w="4914" w:type="dxa"/>
            <w:vAlign w:val="center"/>
            <w:hideMark/>
          </w:tcPr>
          <w:p w14:paraId="4358755C" w14:textId="77777777" w:rsidR="00E84D30" w:rsidRPr="00275EAC" w:rsidRDefault="00E84D30" w:rsidP="008D2ADC">
            <w:pPr>
              <w:jc w:val="center"/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</w:pPr>
            <w:r w:rsidRPr="00275EAC"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  <w:t>Sonora</w:t>
            </w:r>
          </w:p>
        </w:tc>
      </w:tr>
      <w:tr w:rsidR="00E84D30" w:rsidRPr="00C37EE8" w14:paraId="52DB60C3" w14:textId="77777777" w:rsidTr="00FF08CD">
        <w:trPr>
          <w:trHeight w:hRule="exact" w:val="2268"/>
          <w:jc w:val="center"/>
        </w:trPr>
        <w:tc>
          <w:tcPr>
            <w:tcW w:w="4914" w:type="dxa"/>
            <w:hideMark/>
          </w:tcPr>
          <w:p w14:paraId="62BF4504" w14:textId="6F672C55" w:rsidR="00E84D30" w:rsidRPr="00C37EE8" w:rsidRDefault="00FF08CD" w:rsidP="008D2ADC">
            <w:pPr>
              <w:rPr>
                <w:bCs/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641CA154" wp14:editId="3924E753">
                  <wp:extent cx="3060000" cy="1440000"/>
                  <wp:effectExtent l="0" t="0" r="0" b="0"/>
                  <wp:docPr id="76499830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5"/>
                    </a:graphicData>
                  </a:graphic>
                </wp:inline>
              </w:drawing>
            </w:r>
          </w:p>
        </w:tc>
        <w:tc>
          <w:tcPr>
            <w:tcW w:w="146" w:type="dxa"/>
          </w:tcPr>
          <w:p w14:paraId="5EC7A52F" w14:textId="77777777" w:rsidR="00E84D30" w:rsidRPr="00C37EE8" w:rsidRDefault="00E84D30" w:rsidP="008D2ADC">
            <w:pPr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  <w:vAlign w:val="center"/>
            <w:hideMark/>
          </w:tcPr>
          <w:p w14:paraId="2C18EA25" w14:textId="5BFE97E9" w:rsidR="00E84D30" w:rsidRPr="00C37EE8" w:rsidRDefault="00FF08CD" w:rsidP="008D2ADC">
            <w:pPr>
              <w:jc w:val="right"/>
              <w:rPr>
                <w:bCs/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5116B6DC" wp14:editId="130F9D31">
                  <wp:extent cx="3060000" cy="1440000"/>
                  <wp:effectExtent l="0" t="0" r="0" b="0"/>
                  <wp:docPr id="78114409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6"/>
                    </a:graphicData>
                  </a:graphic>
                </wp:inline>
              </w:drawing>
            </w:r>
          </w:p>
        </w:tc>
      </w:tr>
      <w:tr w:rsidR="00E84D30" w:rsidRPr="00C37EE8" w14:paraId="18586761" w14:textId="77777777" w:rsidTr="00FF08CD">
        <w:trPr>
          <w:trHeight w:hRule="exact" w:val="113"/>
          <w:jc w:val="center"/>
        </w:trPr>
        <w:tc>
          <w:tcPr>
            <w:tcW w:w="4914" w:type="dxa"/>
            <w:vAlign w:val="bottom"/>
          </w:tcPr>
          <w:p w14:paraId="451BF214" w14:textId="77777777" w:rsidR="00E84D30" w:rsidRPr="00C37EE8" w:rsidRDefault="00E84D30" w:rsidP="008D2ADC">
            <w:pPr>
              <w:jc w:val="center"/>
              <w:rPr>
                <w:bCs/>
                <w:snapToGrid w:val="0"/>
                <w:color w:val="4D565E"/>
                <w:sz w:val="20"/>
                <w:szCs w:val="22"/>
                <w:lang w:val="es-ES"/>
              </w:rPr>
            </w:pPr>
          </w:p>
        </w:tc>
        <w:tc>
          <w:tcPr>
            <w:tcW w:w="146" w:type="dxa"/>
            <w:vAlign w:val="bottom"/>
          </w:tcPr>
          <w:p w14:paraId="5C22CFEA" w14:textId="77777777" w:rsidR="00E84D30" w:rsidRPr="00C37EE8" w:rsidRDefault="00E84D30" w:rsidP="008D2ADC">
            <w:pPr>
              <w:jc w:val="center"/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  <w:vAlign w:val="center"/>
          </w:tcPr>
          <w:p w14:paraId="3E8F3E5E" w14:textId="77777777" w:rsidR="00E84D30" w:rsidRPr="00C37EE8" w:rsidRDefault="00E84D30" w:rsidP="008D2ADC">
            <w:pPr>
              <w:jc w:val="right"/>
              <w:rPr>
                <w:bCs/>
                <w:snapToGrid w:val="0"/>
                <w:color w:val="4D565E"/>
                <w:sz w:val="20"/>
                <w:szCs w:val="22"/>
                <w:lang w:val="es-ES"/>
              </w:rPr>
            </w:pPr>
          </w:p>
        </w:tc>
      </w:tr>
      <w:tr w:rsidR="00E84D30" w:rsidRPr="00BD51EA" w14:paraId="01A1604C" w14:textId="77777777" w:rsidTr="00FF08CD">
        <w:trPr>
          <w:trHeight w:hRule="exact" w:val="340"/>
          <w:jc w:val="center"/>
        </w:trPr>
        <w:tc>
          <w:tcPr>
            <w:tcW w:w="4914" w:type="dxa"/>
            <w:vAlign w:val="center"/>
          </w:tcPr>
          <w:p w14:paraId="1282B5CE" w14:textId="77777777" w:rsidR="00E84D30" w:rsidRPr="00275EAC" w:rsidRDefault="00E84D30" w:rsidP="008D2ADC">
            <w:pPr>
              <w:jc w:val="center"/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</w:pPr>
            <w:r w:rsidRPr="00275EAC"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  <w:t>Tabasco</w:t>
            </w:r>
          </w:p>
        </w:tc>
        <w:tc>
          <w:tcPr>
            <w:tcW w:w="146" w:type="dxa"/>
            <w:vAlign w:val="center"/>
          </w:tcPr>
          <w:p w14:paraId="3B8550D7" w14:textId="77777777" w:rsidR="00E84D30" w:rsidRPr="00275EAC" w:rsidRDefault="00E84D30" w:rsidP="008D2ADC">
            <w:pPr>
              <w:jc w:val="center"/>
              <w:rPr>
                <w:bCs/>
                <w:snapToGrid w:val="0"/>
                <w:sz w:val="18"/>
                <w:szCs w:val="20"/>
                <w:lang w:val="es-ES"/>
              </w:rPr>
            </w:pPr>
          </w:p>
        </w:tc>
        <w:tc>
          <w:tcPr>
            <w:tcW w:w="4914" w:type="dxa"/>
            <w:vAlign w:val="center"/>
          </w:tcPr>
          <w:p w14:paraId="047B1A02" w14:textId="77777777" w:rsidR="00E84D30" w:rsidRPr="00275EAC" w:rsidRDefault="00E84D30" w:rsidP="008D2ADC">
            <w:pPr>
              <w:jc w:val="center"/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</w:pPr>
            <w:r w:rsidRPr="00275EAC"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  <w:t>Tamaulipas</w:t>
            </w:r>
          </w:p>
        </w:tc>
      </w:tr>
      <w:tr w:rsidR="00E84D30" w:rsidRPr="00C37EE8" w14:paraId="7C25A21B" w14:textId="77777777" w:rsidTr="00FF08CD">
        <w:trPr>
          <w:trHeight w:hRule="exact" w:val="2268"/>
          <w:jc w:val="center"/>
        </w:trPr>
        <w:tc>
          <w:tcPr>
            <w:tcW w:w="4914" w:type="dxa"/>
            <w:hideMark/>
          </w:tcPr>
          <w:p w14:paraId="26F80579" w14:textId="43036DA2" w:rsidR="00E84D30" w:rsidRPr="00C37EE8" w:rsidRDefault="00FF08CD" w:rsidP="008D2ADC">
            <w:pPr>
              <w:rPr>
                <w:bCs/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7591B69E" wp14:editId="4C004D5E">
                  <wp:extent cx="3060000" cy="1440000"/>
                  <wp:effectExtent l="0" t="0" r="0" b="0"/>
                  <wp:docPr id="33149454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7"/>
                    </a:graphicData>
                  </a:graphic>
                </wp:inline>
              </w:drawing>
            </w:r>
          </w:p>
        </w:tc>
        <w:tc>
          <w:tcPr>
            <w:tcW w:w="146" w:type="dxa"/>
          </w:tcPr>
          <w:p w14:paraId="13F6BFD6" w14:textId="77777777" w:rsidR="00E84D30" w:rsidRPr="00C37EE8" w:rsidRDefault="00E84D30" w:rsidP="008D2ADC">
            <w:pPr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  <w:hideMark/>
          </w:tcPr>
          <w:p w14:paraId="7C2A41A7" w14:textId="0B4038DC" w:rsidR="00E84D30" w:rsidRPr="00C37EE8" w:rsidRDefault="00FF08CD" w:rsidP="008D2ADC">
            <w:pPr>
              <w:rPr>
                <w:bCs/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39D2081E" wp14:editId="0E7CDED4">
                  <wp:extent cx="3060000" cy="1440000"/>
                  <wp:effectExtent l="0" t="0" r="0" b="0"/>
                  <wp:docPr id="1067541367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8"/>
                    </a:graphicData>
                  </a:graphic>
                </wp:inline>
              </w:drawing>
            </w:r>
          </w:p>
        </w:tc>
      </w:tr>
      <w:tr w:rsidR="00E84D30" w:rsidRPr="00C37EE8" w14:paraId="07869D95" w14:textId="77777777" w:rsidTr="00FF08CD">
        <w:trPr>
          <w:trHeight w:hRule="exact" w:val="113"/>
          <w:jc w:val="center"/>
        </w:trPr>
        <w:tc>
          <w:tcPr>
            <w:tcW w:w="4914" w:type="dxa"/>
            <w:vAlign w:val="bottom"/>
          </w:tcPr>
          <w:p w14:paraId="4AC8E6C3" w14:textId="77777777" w:rsidR="00E84D30" w:rsidRPr="00C37EE8" w:rsidRDefault="00E84D30" w:rsidP="008D2ADC">
            <w:pPr>
              <w:widowControl w:val="0"/>
              <w:jc w:val="center"/>
              <w:rPr>
                <w:bCs/>
                <w:snapToGrid w:val="0"/>
                <w:color w:val="4D565E"/>
                <w:sz w:val="20"/>
                <w:szCs w:val="22"/>
                <w:lang w:val="es-ES"/>
              </w:rPr>
            </w:pPr>
          </w:p>
        </w:tc>
        <w:tc>
          <w:tcPr>
            <w:tcW w:w="146" w:type="dxa"/>
            <w:vAlign w:val="bottom"/>
          </w:tcPr>
          <w:p w14:paraId="1849918C" w14:textId="77777777" w:rsidR="00E84D30" w:rsidRPr="00C37EE8" w:rsidRDefault="00E84D30" w:rsidP="008D2ADC">
            <w:pPr>
              <w:widowControl w:val="0"/>
              <w:jc w:val="center"/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  <w:vAlign w:val="bottom"/>
          </w:tcPr>
          <w:p w14:paraId="59615F01" w14:textId="77777777" w:rsidR="00E84D30" w:rsidRPr="00940A0E" w:rsidRDefault="00E84D30" w:rsidP="008D2ADC">
            <w:pPr>
              <w:widowControl w:val="0"/>
              <w:jc w:val="right"/>
              <w:rPr>
                <w:bCs/>
                <w:snapToGrid w:val="0"/>
                <w:color w:val="4D565E"/>
                <w:sz w:val="16"/>
                <w:szCs w:val="16"/>
                <w:lang w:val="es-ES"/>
              </w:rPr>
            </w:pPr>
          </w:p>
        </w:tc>
      </w:tr>
      <w:tr w:rsidR="00E84D30" w:rsidRPr="00BD51EA" w14:paraId="61977A09" w14:textId="77777777" w:rsidTr="00FF08CD">
        <w:trPr>
          <w:trHeight w:hRule="exact" w:val="340"/>
          <w:jc w:val="center"/>
        </w:trPr>
        <w:tc>
          <w:tcPr>
            <w:tcW w:w="4914" w:type="dxa"/>
            <w:vAlign w:val="center"/>
            <w:hideMark/>
          </w:tcPr>
          <w:p w14:paraId="5258060A" w14:textId="77777777" w:rsidR="00E84D30" w:rsidRPr="00275EAC" w:rsidRDefault="00E84D30" w:rsidP="008D2ADC">
            <w:pPr>
              <w:widowControl w:val="0"/>
              <w:jc w:val="center"/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</w:pPr>
            <w:r w:rsidRPr="00275EAC"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  <w:t>Tlaxcala</w:t>
            </w:r>
          </w:p>
        </w:tc>
        <w:tc>
          <w:tcPr>
            <w:tcW w:w="146" w:type="dxa"/>
            <w:vAlign w:val="center"/>
          </w:tcPr>
          <w:p w14:paraId="15EC8E38" w14:textId="77777777" w:rsidR="00E84D30" w:rsidRPr="00275EAC" w:rsidRDefault="00E84D30" w:rsidP="008D2ADC">
            <w:pPr>
              <w:widowControl w:val="0"/>
              <w:jc w:val="center"/>
              <w:rPr>
                <w:bCs/>
                <w:snapToGrid w:val="0"/>
                <w:sz w:val="18"/>
                <w:szCs w:val="20"/>
                <w:lang w:val="es-ES"/>
              </w:rPr>
            </w:pPr>
          </w:p>
        </w:tc>
        <w:tc>
          <w:tcPr>
            <w:tcW w:w="4914" w:type="dxa"/>
            <w:vAlign w:val="center"/>
            <w:hideMark/>
          </w:tcPr>
          <w:p w14:paraId="2F18B2FE" w14:textId="77777777" w:rsidR="00E84D30" w:rsidRPr="00275EAC" w:rsidRDefault="00E84D30" w:rsidP="008D2ADC">
            <w:pPr>
              <w:widowControl w:val="0"/>
              <w:jc w:val="center"/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</w:pPr>
            <w:r w:rsidRPr="00275EAC"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  <w:t>Veracruz de Ignacio de la Llave</w:t>
            </w:r>
          </w:p>
        </w:tc>
      </w:tr>
      <w:tr w:rsidR="00E84D30" w:rsidRPr="00C37EE8" w14:paraId="112720F7" w14:textId="77777777" w:rsidTr="00FF08CD">
        <w:trPr>
          <w:trHeight w:hRule="exact" w:val="2268"/>
          <w:jc w:val="center"/>
        </w:trPr>
        <w:tc>
          <w:tcPr>
            <w:tcW w:w="4914" w:type="dxa"/>
            <w:hideMark/>
          </w:tcPr>
          <w:p w14:paraId="0B319B37" w14:textId="1DBDABD9" w:rsidR="00E84D30" w:rsidRPr="00C37EE8" w:rsidRDefault="00FF08CD" w:rsidP="008D2ADC">
            <w:pPr>
              <w:widowControl w:val="0"/>
              <w:rPr>
                <w:bCs/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10766399" wp14:editId="677D1918">
                  <wp:extent cx="3060000" cy="1440000"/>
                  <wp:effectExtent l="0" t="0" r="0" b="0"/>
                  <wp:docPr id="757164074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E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9"/>
                    </a:graphicData>
                  </a:graphic>
                </wp:inline>
              </w:drawing>
            </w:r>
          </w:p>
        </w:tc>
        <w:tc>
          <w:tcPr>
            <w:tcW w:w="146" w:type="dxa"/>
          </w:tcPr>
          <w:p w14:paraId="091C4EB2" w14:textId="77777777" w:rsidR="00E84D30" w:rsidRPr="00C37EE8" w:rsidRDefault="00E84D30" w:rsidP="008D2ADC">
            <w:pPr>
              <w:widowControl w:val="0"/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  <w:hideMark/>
          </w:tcPr>
          <w:p w14:paraId="1E03C19B" w14:textId="36A63F7A" w:rsidR="00E84D30" w:rsidRPr="00C37EE8" w:rsidRDefault="00FF08CD" w:rsidP="008D2ADC">
            <w:pPr>
              <w:widowControl w:val="0"/>
              <w:rPr>
                <w:bCs/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22DDF653" wp14:editId="4538A2C2">
                  <wp:extent cx="3060000" cy="1440000"/>
                  <wp:effectExtent l="0" t="0" r="0" b="0"/>
                  <wp:docPr id="1556944400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1F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0"/>
                    </a:graphicData>
                  </a:graphic>
                </wp:inline>
              </w:drawing>
            </w:r>
          </w:p>
        </w:tc>
      </w:tr>
      <w:tr w:rsidR="00E84D30" w:rsidRPr="00C37EE8" w14:paraId="16240105" w14:textId="77777777" w:rsidTr="00FF08CD">
        <w:trPr>
          <w:trHeight w:hRule="exact" w:val="170"/>
          <w:jc w:val="center"/>
        </w:trPr>
        <w:tc>
          <w:tcPr>
            <w:tcW w:w="4914" w:type="dxa"/>
            <w:vAlign w:val="bottom"/>
          </w:tcPr>
          <w:p w14:paraId="25286C6A" w14:textId="77777777" w:rsidR="00E84D30" w:rsidRPr="00C37EE8" w:rsidRDefault="00E84D30" w:rsidP="008D2ADC">
            <w:pPr>
              <w:keepNext/>
              <w:keepLines/>
              <w:jc w:val="center"/>
              <w:rPr>
                <w:bCs/>
                <w:snapToGrid w:val="0"/>
                <w:color w:val="4D565E"/>
                <w:sz w:val="20"/>
                <w:szCs w:val="22"/>
                <w:lang w:val="es-ES"/>
              </w:rPr>
            </w:pPr>
          </w:p>
        </w:tc>
        <w:tc>
          <w:tcPr>
            <w:tcW w:w="146" w:type="dxa"/>
            <w:vAlign w:val="bottom"/>
          </w:tcPr>
          <w:p w14:paraId="1AD3D954" w14:textId="77777777" w:rsidR="00E84D30" w:rsidRPr="00C37EE8" w:rsidRDefault="00E84D30" w:rsidP="008D2ADC">
            <w:pPr>
              <w:keepNext/>
              <w:keepLines/>
              <w:jc w:val="center"/>
              <w:rPr>
                <w:bCs/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  <w:vAlign w:val="bottom"/>
          </w:tcPr>
          <w:p w14:paraId="4C45358B" w14:textId="77777777" w:rsidR="00E84D30" w:rsidRPr="00BB255A" w:rsidRDefault="00E84D30" w:rsidP="008D2ADC">
            <w:pPr>
              <w:keepNext/>
              <w:keepLines/>
              <w:jc w:val="right"/>
              <w:rPr>
                <w:bCs/>
                <w:snapToGrid w:val="0"/>
                <w:color w:val="4D565E"/>
                <w:sz w:val="16"/>
                <w:szCs w:val="18"/>
                <w:lang w:val="es-ES"/>
              </w:rPr>
            </w:pPr>
            <w:r w:rsidRPr="002606AC">
              <w:rPr>
                <w:bCs/>
                <w:snapToGrid w:val="0"/>
                <w:color w:val="4D565E"/>
                <w:sz w:val="16"/>
                <w:szCs w:val="16"/>
                <w:lang w:val="es-ES"/>
              </w:rPr>
              <w:t>(concluye</w:t>
            </w:r>
            <w:r w:rsidRPr="00940A0E">
              <w:rPr>
                <w:bCs/>
                <w:snapToGrid w:val="0"/>
                <w:color w:val="4D565E"/>
                <w:sz w:val="16"/>
                <w:szCs w:val="16"/>
                <w:lang w:val="es-ES"/>
              </w:rPr>
              <w:t>)</w:t>
            </w:r>
          </w:p>
        </w:tc>
      </w:tr>
      <w:tr w:rsidR="00E84D30" w:rsidRPr="00BD51EA" w14:paraId="6AFFB8DC" w14:textId="77777777" w:rsidTr="00FF08CD">
        <w:trPr>
          <w:trHeight w:hRule="exact" w:val="340"/>
          <w:jc w:val="center"/>
        </w:trPr>
        <w:tc>
          <w:tcPr>
            <w:tcW w:w="4914" w:type="dxa"/>
            <w:vAlign w:val="center"/>
            <w:hideMark/>
          </w:tcPr>
          <w:p w14:paraId="7E47E964" w14:textId="77777777" w:rsidR="00E84D30" w:rsidRPr="00275EAC" w:rsidRDefault="00E84D30" w:rsidP="008D2ADC">
            <w:pPr>
              <w:keepNext/>
              <w:keepLines/>
              <w:jc w:val="center"/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</w:pPr>
            <w:r w:rsidRPr="00275EAC"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  <w:t>Yucatán</w:t>
            </w:r>
          </w:p>
        </w:tc>
        <w:tc>
          <w:tcPr>
            <w:tcW w:w="146" w:type="dxa"/>
            <w:vAlign w:val="center"/>
          </w:tcPr>
          <w:p w14:paraId="27D19398" w14:textId="77777777" w:rsidR="00E84D30" w:rsidRPr="00275EAC" w:rsidRDefault="00E84D30" w:rsidP="008D2ADC">
            <w:pPr>
              <w:keepNext/>
              <w:keepLines/>
              <w:jc w:val="center"/>
              <w:rPr>
                <w:bCs/>
                <w:snapToGrid w:val="0"/>
                <w:sz w:val="18"/>
                <w:szCs w:val="20"/>
                <w:lang w:val="es-ES"/>
              </w:rPr>
            </w:pPr>
          </w:p>
        </w:tc>
        <w:tc>
          <w:tcPr>
            <w:tcW w:w="4914" w:type="dxa"/>
            <w:vAlign w:val="center"/>
            <w:hideMark/>
          </w:tcPr>
          <w:p w14:paraId="2E180836" w14:textId="77777777" w:rsidR="00E84D30" w:rsidRPr="00BE1162" w:rsidRDefault="00E84D30" w:rsidP="008D2ADC">
            <w:pPr>
              <w:keepNext/>
              <w:keepLines/>
              <w:jc w:val="center"/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</w:pPr>
            <w:r w:rsidRPr="00BE1162">
              <w:rPr>
                <w:bCs/>
                <w:snapToGrid w:val="0"/>
                <w:color w:val="4D565E"/>
                <w:sz w:val="18"/>
                <w:szCs w:val="20"/>
                <w:lang w:val="es-ES"/>
              </w:rPr>
              <w:t>Zacatecas</w:t>
            </w:r>
          </w:p>
        </w:tc>
      </w:tr>
      <w:tr w:rsidR="00E84D30" w:rsidRPr="00C37EE8" w14:paraId="77CE3E76" w14:textId="77777777" w:rsidTr="004B0DE3">
        <w:trPr>
          <w:trHeight w:hRule="exact" w:val="2268"/>
          <w:jc w:val="center"/>
        </w:trPr>
        <w:tc>
          <w:tcPr>
            <w:tcW w:w="4914" w:type="dxa"/>
            <w:hideMark/>
          </w:tcPr>
          <w:p w14:paraId="6F63C76E" w14:textId="195AB9DA" w:rsidR="00E84D30" w:rsidRPr="00C37EE8" w:rsidRDefault="004B0DE3" w:rsidP="008D2ADC">
            <w:pPr>
              <w:rPr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4898A0DC" wp14:editId="4D56EEE4">
                  <wp:extent cx="3060000" cy="1440000"/>
                  <wp:effectExtent l="0" t="0" r="0" b="0"/>
                  <wp:docPr id="98009609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1"/>
                    </a:graphicData>
                  </a:graphic>
                </wp:inline>
              </w:drawing>
            </w:r>
          </w:p>
        </w:tc>
        <w:tc>
          <w:tcPr>
            <w:tcW w:w="146" w:type="dxa"/>
          </w:tcPr>
          <w:p w14:paraId="61E6BC5F" w14:textId="77777777" w:rsidR="00E84D30" w:rsidRPr="00C37EE8" w:rsidRDefault="00E84D30" w:rsidP="008D2ADC">
            <w:pPr>
              <w:rPr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  <w:hideMark/>
          </w:tcPr>
          <w:p w14:paraId="6BD57AA0" w14:textId="16571F79" w:rsidR="00E84D30" w:rsidRPr="00C37EE8" w:rsidRDefault="004B0DE3" w:rsidP="008D2ADC">
            <w:pPr>
              <w:rPr>
                <w:snapToGrid w:val="0"/>
                <w:sz w:val="20"/>
                <w:szCs w:val="22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275F33B5" wp14:editId="42A4F4FA">
                  <wp:extent cx="3060000" cy="1440000"/>
                  <wp:effectExtent l="0" t="0" r="0" b="0"/>
                  <wp:docPr id="965441955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2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2"/>
                    </a:graphicData>
                  </a:graphic>
                </wp:inline>
              </w:drawing>
            </w:r>
          </w:p>
        </w:tc>
      </w:tr>
      <w:tr w:rsidR="00F42001" w:rsidRPr="00C37EE8" w14:paraId="46C291B1" w14:textId="77777777" w:rsidTr="00FF08CD">
        <w:trPr>
          <w:trHeight w:hRule="exact" w:val="284"/>
          <w:jc w:val="center"/>
        </w:trPr>
        <w:tc>
          <w:tcPr>
            <w:tcW w:w="4914" w:type="dxa"/>
            <w:vAlign w:val="center"/>
          </w:tcPr>
          <w:p w14:paraId="1B44AD4E" w14:textId="240B4AD9" w:rsidR="00F42001" w:rsidRDefault="00F42001" w:rsidP="00F42001">
            <w:pPr>
              <w:jc w:val="right"/>
              <w:rPr>
                <w:noProof/>
              </w:rPr>
            </w:pPr>
            <w:r w:rsidRPr="0043190A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A254C5" wp14:editId="76FBBBD2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61595</wp:posOffset>
                      </wp:positionV>
                      <wp:extent cx="251460" cy="0"/>
                      <wp:effectExtent l="0" t="0" r="0" b="0"/>
                      <wp:wrapNone/>
                      <wp:docPr id="2069627081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1460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8989C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89B932" id="Conector recto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4pt,4.85pt" to="141.2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" strokecolor="#08989c" strokeweight="1.25pt"/>
                  </w:pict>
                </mc:Fallback>
              </mc:AlternateContent>
            </w:r>
            <w:r>
              <w:rPr>
                <w:noProof/>
                <w:sz w:val="14"/>
                <w:szCs w:val="14"/>
              </w:rPr>
              <w:t xml:space="preserve"> </w:t>
            </w:r>
            <w:r w:rsidRPr="0043190A">
              <w:rPr>
                <w:noProof/>
                <w:sz w:val="14"/>
                <w:szCs w:val="14"/>
              </w:rPr>
              <w:t xml:space="preserve">     </w:t>
            </w:r>
            <w:r>
              <w:rPr>
                <w:noProof/>
                <w:sz w:val="14"/>
                <w:szCs w:val="14"/>
              </w:rPr>
              <w:t xml:space="preserve">       </w:t>
            </w:r>
            <w:r w:rsidRPr="0043190A">
              <w:rPr>
                <w:noProof/>
                <w:color w:val="4D565E"/>
                <w:sz w:val="16"/>
                <w:szCs w:val="16"/>
              </w:rPr>
              <w:t>Serie desestacionalizada</w:t>
            </w:r>
          </w:p>
        </w:tc>
        <w:tc>
          <w:tcPr>
            <w:tcW w:w="146" w:type="dxa"/>
            <w:vAlign w:val="center"/>
          </w:tcPr>
          <w:p w14:paraId="34B94401" w14:textId="77777777" w:rsidR="00F42001" w:rsidRPr="00C37EE8" w:rsidRDefault="00F42001" w:rsidP="00F42001">
            <w:pPr>
              <w:rPr>
                <w:snapToGrid w:val="0"/>
                <w:sz w:val="20"/>
                <w:szCs w:val="22"/>
                <w:lang w:val="es-ES"/>
              </w:rPr>
            </w:pPr>
          </w:p>
        </w:tc>
        <w:tc>
          <w:tcPr>
            <w:tcW w:w="4914" w:type="dxa"/>
            <w:vAlign w:val="center"/>
          </w:tcPr>
          <w:p w14:paraId="4272BCD2" w14:textId="63019F3A" w:rsidR="00F42001" w:rsidRDefault="00F42001" w:rsidP="00F42001">
            <w:pPr>
              <w:jc w:val="left"/>
              <w:rPr>
                <w:noProof/>
              </w:rPr>
            </w:pPr>
            <w:r w:rsidRPr="0043190A">
              <w:rPr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46662F" wp14:editId="37CB0B6A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71755</wp:posOffset>
                      </wp:positionV>
                      <wp:extent cx="252000" cy="0"/>
                      <wp:effectExtent l="0" t="0" r="0" b="0"/>
                      <wp:wrapNone/>
                      <wp:docPr id="2049415468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0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305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9A4D8F" id="Conector recto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5pt,5.65pt" to="2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" strokecolor="#003057" strokeweight="1pt"/>
                  </w:pict>
                </mc:Fallback>
              </mc:AlternateContent>
            </w:r>
            <w:r>
              <w:rPr>
                <w:noProof/>
                <w:color w:val="4D565E"/>
                <w:sz w:val="16"/>
                <w:szCs w:val="16"/>
              </w:rPr>
              <w:t xml:space="preserve">            </w:t>
            </w:r>
            <w:r w:rsidRPr="0043190A">
              <w:rPr>
                <w:noProof/>
                <w:color w:val="4D565E"/>
                <w:sz w:val="16"/>
                <w:szCs w:val="16"/>
              </w:rPr>
              <w:t>Serie tendencia-ciclo</w:t>
            </w:r>
          </w:p>
        </w:tc>
      </w:tr>
    </w:tbl>
    <w:p w14:paraId="3C9061C7" w14:textId="77777777" w:rsidR="00E84D30" w:rsidRDefault="00E84D30" w:rsidP="00E84D30">
      <w:pPr>
        <w:autoSpaceDE w:val="0"/>
        <w:autoSpaceDN w:val="0"/>
        <w:adjustRightInd w:val="0"/>
        <w:ind w:left="686" w:right="259" w:hanging="601"/>
        <w:rPr>
          <w:color w:val="4D565E"/>
          <w:sz w:val="16"/>
          <w:szCs w:val="16"/>
        </w:rPr>
      </w:pPr>
      <w:r w:rsidRPr="00500F20">
        <w:rPr>
          <w:color w:val="4D565E"/>
          <w:sz w:val="16"/>
          <w:szCs w:val="16"/>
          <w:lang w:val="es-ES"/>
        </w:rPr>
        <w:t>Nota:</w:t>
      </w:r>
      <w:r w:rsidRPr="00500F20">
        <w:rPr>
          <w:color w:val="4D565E"/>
          <w:sz w:val="16"/>
          <w:szCs w:val="16"/>
          <w:lang w:val="es-ES"/>
        </w:rPr>
        <w:tab/>
      </w:r>
      <w:r w:rsidRPr="00500F20">
        <w:rPr>
          <w:color w:val="4D565E"/>
          <w:sz w:val="16"/>
          <w:szCs w:val="16"/>
        </w:rPr>
        <w:t xml:space="preserve">Series </w:t>
      </w:r>
      <w:r w:rsidRPr="00FF0126">
        <w:rPr>
          <w:color w:val="4D565E"/>
          <w:sz w:val="16"/>
          <w:szCs w:val="16"/>
        </w:rPr>
        <w:t>elaboradas mediante métodos econométricos</w:t>
      </w:r>
      <w:r>
        <w:rPr>
          <w:color w:val="4D565E"/>
          <w:sz w:val="16"/>
          <w:szCs w:val="16"/>
        </w:rPr>
        <w:t>.</w:t>
      </w:r>
    </w:p>
    <w:p w14:paraId="01D7DC3A" w14:textId="654474AC" w:rsidR="00EB61A4" w:rsidRPr="0045592E" w:rsidRDefault="00E84D30" w:rsidP="00BB5A46">
      <w:pPr>
        <w:ind w:left="680" w:hanging="585"/>
        <w:jc w:val="left"/>
        <w:rPr>
          <w:snapToGrid w:val="0"/>
          <w:color w:val="4D565E"/>
          <w:sz w:val="16"/>
          <w:szCs w:val="18"/>
          <w:lang w:val="es-MX"/>
        </w:rPr>
      </w:pPr>
      <w:r w:rsidRPr="00500F20">
        <w:rPr>
          <w:color w:val="4D565E"/>
          <w:sz w:val="16"/>
          <w:szCs w:val="16"/>
          <w:lang w:val="es-ES"/>
        </w:rPr>
        <w:t>Fuente:</w:t>
      </w:r>
      <w:r w:rsidRPr="00500F20">
        <w:rPr>
          <w:color w:val="4D565E"/>
        </w:rPr>
        <w:tab/>
      </w:r>
      <w:r w:rsidRPr="00500F20">
        <w:rPr>
          <w:smallCaps/>
          <w:color w:val="4D565E"/>
          <w:sz w:val="16"/>
          <w:szCs w:val="16"/>
          <w:lang w:val="es-ES"/>
        </w:rPr>
        <w:t xml:space="preserve">inegi. </w:t>
      </w:r>
      <w:r w:rsidRPr="00500F20">
        <w:rPr>
          <w:color w:val="4D565E"/>
          <w:sz w:val="16"/>
          <w:szCs w:val="16"/>
          <w:lang w:val="es-ES"/>
        </w:rPr>
        <w:t>Sistema de Cuentas Nacionales de México (</w:t>
      </w:r>
      <w:proofErr w:type="spellStart"/>
      <w:r w:rsidRPr="00500F20">
        <w:rPr>
          <w:smallCaps/>
          <w:color w:val="4D565E"/>
          <w:sz w:val="16"/>
          <w:szCs w:val="16"/>
          <w:lang w:val="es-ES"/>
        </w:rPr>
        <w:t>scnm</w:t>
      </w:r>
      <w:proofErr w:type="spellEnd"/>
      <w:r w:rsidRPr="00500F20">
        <w:rPr>
          <w:color w:val="4D565E"/>
          <w:sz w:val="16"/>
          <w:szCs w:val="16"/>
          <w:lang w:val="es-ES"/>
        </w:rPr>
        <w:t xml:space="preserve">). Indicador </w:t>
      </w:r>
      <w:r w:rsidR="00BB5A46">
        <w:rPr>
          <w:color w:val="4D565E"/>
          <w:sz w:val="16"/>
          <w:szCs w:val="16"/>
          <w:lang w:val="es-ES"/>
        </w:rPr>
        <w:t>Trimestral</w:t>
      </w:r>
      <w:r w:rsidRPr="00500F20">
        <w:rPr>
          <w:color w:val="4D565E"/>
          <w:sz w:val="16"/>
          <w:szCs w:val="16"/>
          <w:lang w:val="es-ES"/>
        </w:rPr>
        <w:t xml:space="preserve"> de la Actividad</w:t>
      </w:r>
      <w:r w:rsidR="00BB5A46">
        <w:rPr>
          <w:color w:val="4D565E"/>
          <w:sz w:val="16"/>
          <w:szCs w:val="16"/>
          <w:lang w:val="es-ES"/>
        </w:rPr>
        <w:t xml:space="preserve"> Económica</w:t>
      </w:r>
      <w:r w:rsidRPr="00500F20">
        <w:rPr>
          <w:color w:val="4D565E"/>
          <w:sz w:val="16"/>
          <w:szCs w:val="16"/>
          <w:lang w:val="es-ES"/>
        </w:rPr>
        <w:t xml:space="preserve"> </w:t>
      </w:r>
      <w:r w:rsidR="00BB5A46">
        <w:rPr>
          <w:color w:val="4D565E"/>
          <w:sz w:val="16"/>
          <w:szCs w:val="16"/>
          <w:lang w:val="es-ES"/>
        </w:rPr>
        <w:t>Estatal</w:t>
      </w:r>
      <w:r w:rsidR="00D13B39">
        <w:rPr>
          <w:color w:val="4D565E"/>
          <w:sz w:val="16"/>
          <w:szCs w:val="16"/>
          <w:lang w:val="es-ES"/>
        </w:rPr>
        <w:t xml:space="preserve">, </w:t>
      </w:r>
      <w:r w:rsidR="00BB5A46">
        <w:rPr>
          <w:color w:val="4D565E"/>
          <w:sz w:val="16"/>
          <w:szCs w:val="16"/>
          <w:lang w:val="es-ES"/>
        </w:rPr>
        <w:t>202</w:t>
      </w:r>
      <w:r w:rsidR="00E73350">
        <w:rPr>
          <w:color w:val="4D565E"/>
          <w:sz w:val="16"/>
          <w:szCs w:val="16"/>
          <w:lang w:val="es-ES"/>
        </w:rPr>
        <w:t>5.</w:t>
      </w:r>
    </w:p>
    <w:p w14:paraId="49359BEB" w14:textId="5587408E" w:rsidR="0057259F" w:rsidRPr="0045592E" w:rsidRDefault="0057259F" w:rsidP="005157C5">
      <w:pPr>
        <w:ind w:left="851"/>
        <w:jc w:val="left"/>
        <w:rPr>
          <w:snapToGrid w:val="0"/>
          <w:color w:val="4D565E"/>
          <w:sz w:val="16"/>
          <w:szCs w:val="18"/>
          <w:lang w:val="es-MX"/>
        </w:rPr>
      </w:pPr>
      <w:r w:rsidRPr="0045592E">
        <w:rPr>
          <w:snapToGrid w:val="0"/>
          <w:color w:val="4D565E"/>
          <w:sz w:val="16"/>
          <w:szCs w:val="18"/>
          <w:lang w:val="es-MX"/>
        </w:rPr>
        <w:t xml:space="preserve"> </w:t>
      </w:r>
    </w:p>
    <w:p w14:paraId="57EC3362" w14:textId="1D7BFB42" w:rsidR="0048518E" w:rsidRPr="00AE1DC1" w:rsidRDefault="0048518E">
      <w:pPr>
        <w:jc w:val="left"/>
        <w:rPr>
          <w:snapToGrid w:val="0"/>
          <w:sz w:val="16"/>
          <w:szCs w:val="18"/>
          <w:lang w:val="es-419"/>
        </w:rPr>
      </w:pPr>
      <w:r>
        <w:rPr>
          <w:snapToGrid w:val="0"/>
          <w:sz w:val="16"/>
          <w:szCs w:val="18"/>
          <w:lang w:val="es-MX"/>
        </w:rPr>
        <w:br w:type="page"/>
      </w:r>
    </w:p>
    <w:p w14:paraId="64DCF70E" w14:textId="2024B2C5" w:rsidR="00B502BC" w:rsidRPr="00605B46" w:rsidRDefault="0045592E" w:rsidP="0045592E">
      <w:pPr>
        <w:pStyle w:val="Ttulo4"/>
        <w:keepNext w:val="0"/>
        <w:keepLines w:val="0"/>
        <w:spacing w:before="240"/>
        <w:jc w:val="center"/>
        <w:rPr>
          <w:rFonts w:ascii="Arial" w:hAnsi="Arial" w:cs="Arial"/>
          <w:b/>
          <w:bCs/>
          <w:i w:val="0"/>
          <w:iCs w:val="0"/>
          <w:smallCaps/>
          <w:color w:val="000000"/>
          <w:sz w:val="26"/>
          <w:szCs w:val="26"/>
        </w:rPr>
      </w:pPr>
      <w:bookmarkStart w:id="2" w:name="_Hlk178082659"/>
      <w:proofErr w:type="spellStart"/>
      <w:r w:rsidRPr="00605B46">
        <w:rPr>
          <w:rFonts w:ascii="Arial" w:hAnsi="Arial" w:cs="Arial"/>
          <w:b/>
          <w:bCs/>
          <w:i w:val="0"/>
          <w:smallCaps/>
          <w:color w:val="000000"/>
          <w:sz w:val="26"/>
          <w:szCs w:val="26"/>
        </w:rPr>
        <w:lastRenderedPageBreak/>
        <w:t>ii</w:t>
      </w:r>
      <w:proofErr w:type="spellEnd"/>
      <w:r w:rsidRPr="00605B46">
        <w:rPr>
          <w:rFonts w:ascii="Arial" w:hAnsi="Arial" w:cs="Arial"/>
          <w:b/>
          <w:bCs/>
          <w:i w:val="0"/>
          <w:smallCaps/>
          <w:color w:val="000000"/>
          <w:sz w:val="26"/>
          <w:szCs w:val="26"/>
        </w:rPr>
        <w:t xml:space="preserve">. </w:t>
      </w:r>
      <w:r w:rsidR="00B502BC" w:rsidRPr="00605B46">
        <w:rPr>
          <w:rFonts w:ascii="Arial" w:hAnsi="Arial" w:cs="Arial"/>
          <w:b/>
          <w:bCs/>
          <w:i w:val="0"/>
          <w:smallCaps/>
          <w:color w:val="000000"/>
          <w:sz w:val="26"/>
          <w:szCs w:val="26"/>
        </w:rPr>
        <w:t>cifras originales</w:t>
      </w:r>
    </w:p>
    <w:bookmarkEnd w:id="0"/>
    <w:bookmarkEnd w:id="2"/>
    <w:p w14:paraId="1F39925C" w14:textId="7CDA6A2B" w:rsidR="002D6E7A" w:rsidRPr="002D6E7A" w:rsidRDefault="00567E8F" w:rsidP="006D2320">
      <w:pPr>
        <w:pStyle w:val="Textoindependiente"/>
        <w:widowControl w:val="0"/>
        <w:spacing w:before="120"/>
        <w:rPr>
          <w:color w:val="auto"/>
        </w:rPr>
      </w:pPr>
      <w:r>
        <w:rPr>
          <w:color w:val="auto"/>
        </w:rPr>
        <w:t>En esta sección</w:t>
      </w:r>
      <w:r w:rsidR="002D6E7A" w:rsidRPr="002D6E7A">
        <w:rPr>
          <w:color w:val="auto"/>
        </w:rPr>
        <w:t xml:space="preserve"> se presentan las variaciones anuales de las cifras originales por entidad federativa,</w:t>
      </w:r>
      <w:r w:rsidR="00793D23">
        <w:rPr>
          <w:color w:val="auto"/>
        </w:rPr>
        <w:t xml:space="preserve"> </w:t>
      </w:r>
      <w:r w:rsidR="002D6E7A" w:rsidRPr="002D6E7A">
        <w:rPr>
          <w:color w:val="auto"/>
        </w:rPr>
        <w:t>sus respectivas contribuciones al total de la actividad económica nacional</w:t>
      </w:r>
      <w:r w:rsidR="00AE0B1C">
        <w:rPr>
          <w:color w:val="auto"/>
        </w:rPr>
        <w:t xml:space="preserve">, </w:t>
      </w:r>
      <w:r w:rsidR="00793D23">
        <w:rPr>
          <w:color w:val="auto"/>
        </w:rPr>
        <w:t xml:space="preserve">así </w:t>
      </w:r>
      <w:r w:rsidR="00AE0B1C">
        <w:rPr>
          <w:color w:val="auto"/>
        </w:rPr>
        <w:t xml:space="preserve">como </w:t>
      </w:r>
      <w:r w:rsidR="002D6E7A" w:rsidRPr="002D6E7A">
        <w:rPr>
          <w:color w:val="auto"/>
        </w:rPr>
        <w:t>los tres grandes grupos de actividades económicas</w:t>
      </w:r>
      <w:r w:rsidR="0045592E">
        <w:rPr>
          <w:color w:val="auto"/>
        </w:rPr>
        <w:t xml:space="preserve"> (ver gráficas 2, 3, 4 y 5)</w:t>
      </w:r>
      <w:r w:rsidR="002D6E7A" w:rsidRPr="002D6E7A">
        <w:rPr>
          <w:color w:val="auto"/>
        </w:rPr>
        <w:t>.</w:t>
      </w:r>
    </w:p>
    <w:p w14:paraId="60B65B72" w14:textId="10B2128A" w:rsidR="00121E0C" w:rsidRPr="00F91944" w:rsidRDefault="00121E0C" w:rsidP="004C7592">
      <w:pPr>
        <w:pStyle w:val="Textoindependiente"/>
        <w:jc w:val="center"/>
        <w:rPr>
          <w:color w:val="4D565E"/>
          <w:sz w:val="20"/>
        </w:rPr>
      </w:pPr>
      <w:r w:rsidRPr="00F91944">
        <w:rPr>
          <w:color w:val="4D565E"/>
          <w:sz w:val="20"/>
        </w:rPr>
        <w:t>Gráfica 2</w:t>
      </w:r>
    </w:p>
    <w:p w14:paraId="7EB09E92" w14:textId="02F8BE37" w:rsidR="002D6E7A" w:rsidRPr="0033308D" w:rsidRDefault="002D6E7A" w:rsidP="00121E0C">
      <w:pPr>
        <w:pStyle w:val="p02"/>
        <w:keepLines w:val="0"/>
        <w:widowControl w:val="0"/>
        <w:spacing w:before="0"/>
        <w:ind w:right="0"/>
        <w:jc w:val="center"/>
        <w:rPr>
          <w:rFonts w:ascii="Arial Negrita" w:hAnsi="Arial Negrita" w:cs="Arial"/>
          <w:b/>
          <w:color w:val="003057"/>
          <w:sz w:val="22"/>
        </w:rPr>
      </w:pPr>
      <w:r w:rsidRPr="0033308D">
        <w:rPr>
          <w:rFonts w:ascii="Arial Negrita" w:hAnsi="Arial Negrita" w:cs="Arial"/>
          <w:b/>
          <w:color w:val="003057"/>
          <w:sz w:val="22"/>
        </w:rPr>
        <w:t xml:space="preserve">Variación anual y contribución de la actividad económica estatal </w:t>
      </w:r>
    </w:p>
    <w:p w14:paraId="58C04E5C" w14:textId="550EA8F9" w:rsidR="002D6E7A" w:rsidRPr="00BE1162" w:rsidRDefault="007B2E97" w:rsidP="002D6E7A">
      <w:pPr>
        <w:pStyle w:val="p02"/>
        <w:keepLines w:val="0"/>
        <w:widowControl w:val="0"/>
        <w:spacing w:before="0"/>
        <w:ind w:right="0"/>
        <w:jc w:val="center"/>
        <w:rPr>
          <w:rFonts w:ascii="Arial" w:hAnsi="Arial" w:cs="Arial"/>
          <w:bCs/>
          <w:color w:val="27251F"/>
          <w:sz w:val="20"/>
        </w:rPr>
      </w:pPr>
      <w:r w:rsidRPr="00E73350">
        <w:rPr>
          <w:rFonts w:ascii="Arial" w:hAnsi="Arial" w:cs="Arial"/>
          <w:bCs/>
          <w:color w:val="27251F"/>
          <w:sz w:val="20"/>
          <w:szCs w:val="18"/>
        </w:rPr>
        <w:t>tercer</w:t>
      </w:r>
      <w:r w:rsidR="00856C6B" w:rsidRPr="00E73350">
        <w:rPr>
          <w:rFonts w:ascii="Arial" w:hAnsi="Arial" w:cs="Arial"/>
          <w:bCs/>
          <w:color w:val="27251F"/>
          <w:sz w:val="20"/>
          <w:szCs w:val="18"/>
        </w:rPr>
        <w:t xml:space="preserve"> </w:t>
      </w:r>
      <w:r w:rsidR="002D6E7A" w:rsidRPr="00E73350">
        <w:rPr>
          <w:rFonts w:ascii="Arial" w:hAnsi="Arial" w:cs="Arial"/>
          <w:bCs/>
          <w:color w:val="27251F"/>
          <w:sz w:val="20"/>
          <w:szCs w:val="18"/>
        </w:rPr>
        <w:t xml:space="preserve">trimestre </w:t>
      </w:r>
      <w:r w:rsidR="002D6E7A" w:rsidRPr="00E73350">
        <w:rPr>
          <w:rFonts w:ascii="Arial" w:hAnsi="Arial" w:cs="Arial"/>
          <w:bCs/>
          <w:color w:val="27251F"/>
          <w:sz w:val="20"/>
        </w:rPr>
        <w:t>de 202</w:t>
      </w:r>
      <w:r w:rsidR="00856C6B" w:rsidRPr="00E73350">
        <w:rPr>
          <w:rFonts w:ascii="Arial" w:hAnsi="Arial" w:cs="Arial"/>
          <w:bCs/>
          <w:color w:val="27251F"/>
          <w:sz w:val="20"/>
        </w:rPr>
        <w:t>4</w:t>
      </w:r>
      <w:r w:rsidRPr="00E73350">
        <w:rPr>
          <w:rFonts w:ascii="Arial" w:hAnsi="Arial" w:cs="Arial"/>
          <w:bCs/>
          <w:color w:val="27251F"/>
          <w:sz w:val="20"/>
          <w:vertAlign w:val="superscript"/>
        </w:rPr>
        <w:t>1</w:t>
      </w:r>
      <w:r w:rsidRPr="00BE1162">
        <w:rPr>
          <w:rFonts w:ascii="Arial" w:hAnsi="Arial" w:cs="Arial"/>
          <w:bCs/>
          <w:color w:val="27251F"/>
          <w:sz w:val="20"/>
          <w:vertAlign w:val="superscript"/>
        </w:rPr>
        <w:t>/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0"/>
        <w:gridCol w:w="148"/>
        <w:gridCol w:w="6"/>
        <w:gridCol w:w="4910"/>
      </w:tblGrid>
      <w:tr w:rsidR="00121E0C" w:rsidRPr="00121E0C" w14:paraId="21144AC9" w14:textId="77777777" w:rsidTr="004F74E2">
        <w:trPr>
          <w:trHeight w:hRule="exact" w:val="567"/>
        </w:trPr>
        <w:tc>
          <w:tcPr>
            <w:tcW w:w="4910" w:type="dxa"/>
            <w:vAlign w:val="center"/>
          </w:tcPr>
          <w:p w14:paraId="0F4955C4" w14:textId="520F7D40" w:rsidR="00121E0C" w:rsidRPr="003E479F" w:rsidRDefault="00121E0C" w:rsidP="006F5BB4">
            <w:pPr>
              <w:pStyle w:val="p0"/>
              <w:spacing w:before="0"/>
              <w:jc w:val="center"/>
              <w:rPr>
                <w:rFonts w:ascii="Arial" w:hAnsi="Arial"/>
                <w:color w:val="4D565E"/>
                <w:sz w:val="20"/>
                <w:szCs w:val="20"/>
                <w:lang w:val="es-MX"/>
              </w:rPr>
            </w:pPr>
            <w:r w:rsidRPr="003E479F">
              <w:rPr>
                <w:rFonts w:ascii="Arial" w:hAnsi="Arial"/>
                <w:color w:val="4D565E"/>
                <w:sz w:val="20"/>
                <w:szCs w:val="20"/>
              </w:rPr>
              <w:t xml:space="preserve">Variación </w:t>
            </w:r>
            <w:r w:rsidR="00AE0B1C" w:rsidRPr="003E479F">
              <w:rPr>
                <w:rFonts w:ascii="Arial" w:hAnsi="Arial"/>
                <w:color w:val="4D565E"/>
                <w:sz w:val="20"/>
                <w:szCs w:val="20"/>
              </w:rPr>
              <w:t xml:space="preserve">porcentual </w:t>
            </w:r>
            <w:r w:rsidRPr="003E479F">
              <w:rPr>
                <w:rFonts w:ascii="Arial" w:hAnsi="Arial"/>
                <w:color w:val="4D565E"/>
                <w:sz w:val="20"/>
                <w:szCs w:val="20"/>
              </w:rPr>
              <w:t xml:space="preserve">real </w:t>
            </w:r>
            <w:r w:rsidR="00AE0B1C" w:rsidRPr="003E479F">
              <w:rPr>
                <w:rFonts w:ascii="Arial" w:hAnsi="Arial"/>
                <w:color w:val="4D565E"/>
                <w:sz w:val="20"/>
                <w:szCs w:val="20"/>
              </w:rPr>
              <w:br/>
            </w:r>
            <w:r w:rsidRPr="003E479F">
              <w:rPr>
                <w:rFonts w:ascii="Arial" w:hAnsi="Arial"/>
                <w:color w:val="4D565E"/>
                <w:sz w:val="20"/>
                <w:szCs w:val="20"/>
              </w:rPr>
              <w:t xml:space="preserve">respecto al </w:t>
            </w:r>
            <w:r w:rsidR="00E73350" w:rsidRPr="003E479F">
              <w:rPr>
                <w:rFonts w:ascii="Arial" w:hAnsi="Arial"/>
                <w:color w:val="4D565E"/>
                <w:sz w:val="20"/>
                <w:szCs w:val="20"/>
              </w:rPr>
              <w:t>tercer</w:t>
            </w:r>
            <w:r w:rsidR="00AE0B1C" w:rsidRPr="003E479F">
              <w:rPr>
                <w:rFonts w:ascii="Arial" w:hAnsi="Arial"/>
                <w:color w:val="4D565E"/>
                <w:sz w:val="20"/>
                <w:szCs w:val="20"/>
              </w:rPr>
              <w:t xml:space="preserve"> </w:t>
            </w:r>
            <w:r w:rsidRPr="003E479F">
              <w:rPr>
                <w:rFonts w:ascii="Arial" w:hAnsi="Arial"/>
                <w:color w:val="4D565E"/>
                <w:sz w:val="20"/>
                <w:szCs w:val="20"/>
              </w:rPr>
              <w:t>trimestre de 202</w:t>
            </w:r>
            <w:r w:rsidR="00856C6B" w:rsidRPr="003E479F">
              <w:rPr>
                <w:rFonts w:ascii="Arial" w:hAnsi="Arial"/>
                <w:color w:val="4D565E"/>
                <w:sz w:val="20"/>
                <w:szCs w:val="20"/>
              </w:rPr>
              <w:t>3</w:t>
            </w:r>
          </w:p>
        </w:tc>
        <w:tc>
          <w:tcPr>
            <w:tcW w:w="148" w:type="dxa"/>
            <w:vAlign w:val="center"/>
          </w:tcPr>
          <w:p w14:paraId="0B6C0969" w14:textId="77777777" w:rsidR="00121E0C" w:rsidRPr="003E479F" w:rsidRDefault="00121E0C" w:rsidP="00121E0C">
            <w:pPr>
              <w:pStyle w:val="p0"/>
              <w:spacing w:before="0"/>
              <w:jc w:val="center"/>
              <w:rPr>
                <w:rFonts w:ascii="Arial" w:hAnsi="Arial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4916" w:type="dxa"/>
            <w:gridSpan w:val="2"/>
            <w:vAlign w:val="center"/>
          </w:tcPr>
          <w:p w14:paraId="4AB1C661" w14:textId="4EE44AC2" w:rsidR="00121E0C" w:rsidRPr="003E479F" w:rsidRDefault="00121E0C" w:rsidP="00121E0C">
            <w:pPr>
              <w:pStyle w:val="p0"/>
              <w:spacing w:before="0"/>
              <w:jc w:val="center"/>
              <w:rPr>
                <w:rFonts w:ascii="Arial" w:hAnsi="Arial"/>
                <w:color w:val="4D565E"/>
                <w:sz w:val="20"/>
                <w:szCs w:val="20"/>
                <w:lang w:val="es-MX"/>
              </w:rPr>
            </w:pPr>
            <w:r w:rsidRPr="003E479F">
              <w:rPr>
                <w:color w:val="4D565E"/>
                <w:sz w:val="20"/>
                <w:szCs w:val="20"/>
              </w:rPr>
              <w:t xml:space="preserve">Contribución a la variación real </w:t>
            </w:r>
            <w:r w:rsidRPr="003E479F">
              <w:rPr>
                <w:color w:val="4D565E"/>
                <w:sz w:val="20"/>
                <w:szCs w:val="20"/>
              </w:rPr>
              <w:br/>
              <w:t>de la actividad económica nacional</w:t>
            </w:r>
            <w:r w:rsidR="009A100D" w:rsidRPr="003E479F">
              <w:rPr>
                <w:color w:val="4D565E"/>
                <w:sz w:val="20"/>
                <w:szCs w:val="20"/>
                <w:vertAlign w:val="superscript"/>
              </w:rPr>
              <w:t>2</w:t>
            </w:r>
            <w:r w:rsidRPr="003E479F">
              <w:rPr>
                <w:color w:val="4D565E"/>
                <w:sz w:val="20"/>
                <w:szCs w:val="20"/>
                <w:vertAlign w:val="superscript"/>
              </w:rPr>
              <w:t>/</w:t>
            </w:r>
          </w:p>
        </w:tc>
      </w:tr>
      <w:tr w:rsidR="00121E0C" w:rsidRPr="00121E0C" w14:paraId="2E42E108" w14:textId="77777777" w:rsidTr="001B5246">
        <w:tblPrEx>
          <w:tblCellMar>
            <w:left w:w="70" w:type="dxa"/>
            <w:right w:w="70" w:type="dxa"/>
          </w:tblCellMar>
        </w:tblPrEx>
        <w:trPr>
          <w:trHeight w:val="8562"/>
        </w:trPr>
        <w:tc>
          <w:tcPr>
            <w:tcW w:w="4910" w:type="dxa"/>
            <w:vAlign w:val="center"/>
          </w:tcPr>
          <w:p w14:paraId="2285C8CE" w14:textId="3925BB51" w:rsidR="00121E0C" w:rsidRPr="008F164F" w:rsidRDefault="004F74E2" w:rsidP="00121E0C">
            <w:pPr>
              <w:pStyle w:val="p0"/>
              <w:spacing w:before="0"/>
              <w:jc w:val="center"/>
              <w:rPr>
                <w:rFonts w:ascii="Arial" w:hAnsi="Arial"/>
                <w:color w:val="auto"/>
                <w:sz w:val="18"/>
                <w:szCs w:val="18"/>
                <w:lang w:val="es-MX"/>
              </w:rPr>
            </w:pPr>
            <w:r w:rsidRPr="008F164F"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778FD676" wp14:editId="4D9C542D">
                  <wp:extent cx="3023870" cy="5400000"/>
                  <wp:effectExtent l="0" t="0" r="5080" b="10795"/>
                  <wp:docPr id="134350811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3"/>
                    </a:graphicData>
                  </a:graphic>
                </wp:inline>
              </w:drawing>
            </w:r>
          </w:p>
        </w:tc>
        <w:tc>
          <w:tcPr>
            <w:tcW w:w="154" w:type="dxa"/>
            <w:gridSpan w:val="2"/>
            <w:vAlign w:val="center"/>
          </w:tcPr>
          <w:p w14:paraId="01753AC4" w14:textId="77777777" w:rsidR="00121E0C" w:rsidRPr="00121E0C" w:rsidRDefault="00121E0C" w:rsidP="00121E0C">
            <w:pPr>
              <w:pStyle w:val="p0"/>
              <w:spacing w:before="0"/>
              <w:jc w:val="center"/>
              <w:rPr>
                <w:rFonts w:ascii="Arial" w:hAnsi="Arial"/>
                <w:color w:val="auto"/>
                <w:sz w:val="16"/>
                <w:szCs w:val="16"/>
                <w:lang w:val="es-MX"/>
              </w:rPr>
            </w:pPr>
          </w:p>
        </w:tc>
        <w:tc>
          <w:tcPr>
            <w:tcW w:w="4910" w:type="dxa"/>
            <w:vAlign w:val="center"/>
          </w:tcPr>
          <w:p w14:paraId="095C1FF6" w14:textId="2DB42814" w:rsidR="00121E0C" w:rsidRPr="00552E8A" w:rsidRDefault="001B5246" w:rsidP="00121E0C">
            <w:pPr>
              <w:pStyle w:val="p0"/>
              <w:spacing w:before="0"/>
              <w:jc w:val="center"/>
              <w:rPr>
                <w:rFonts w:ascii="Arial" w:hAnsi="Arial"/>
                <w:color w:val="4D565E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73725D48" wp14:editId="1521325D">
                  <wp:extent cx="3023870" cy="5399405"/>
                  <wp:effectExtent l="0" t="0" r="5080" b="10795"/>
                  <wp:docPr id="90045714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0AC4FA-BAE7-41FE-8BEC-9CD1A81544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4"/>
                    </a:graphicData>
                  </a:graphic>
                </wp:inline>
              </w:drawing>
            </w:r>
          </w:p>
        </w:tc>
      </w:tr>
    </w:tbl>
    <w:p w14:paraId="625600F4" w14:textId="23CD07DF" w:rsidR="009A100D" w:rsidRDefault="009A100D" w:rsidP="00121E0C">
      <w:pPr>
        <w:pStyle w:val="Textoindependiente"/>
        <w:spacing w:before="0"/>
        <w:ind w:left="742" w:right="91" w:hanging="630"/>
        <w:rPr>
          <w:color w:val="4D565E"/>
          <w:sz w:val="16"/>
          <w:szCs w:val="16"/>
          <w:vertAlign w:val="superscript"/>
        </w:rPr>
      </w:pPr>
      <w:r>
        <w:rPr>
          <w:color w:val="4D565E"/>
          <w:sz w:val="16"/>
          <w:szCs w:val="16"/>
          <w:vertAlign w:val="superscript"/>
        </w:rPr>
        <w:t>1</w:t>
      </w:r>
      <w:r w:rsidRPr="00F91944">
        <w:rPr>
          <w:color w:val="4D565E"/>
          <w:sz w:val="16"/>
          <w:szCs w:val="16"/>
          <w:vertAlign w:val="superscript"/>
        </w:rPr>
        <w:t>/</w:t>
      </w:r>
      <w:r w:rsidRPr="00F91944">
        <w:rPr>
          <w:color w:val="4D565E"/>
          <w:sz w:val="16"/>
          <w:szCs w:val="16"/>
          <w:vertAlign w:val="superscript"/>
        </w:rPr>
        <w:tab/>
      </w:r>
      <w:r>
        <w:rPr>
          <w:color w:val="4D565E"/>
          <w:sz w:val="16"/>
          <w:szCs w:val="16"/>
        </w:rPr>
        <w:t>Cifras preliminares.</w:t>
      </w:r>
    </w:p>
    <w:p w14:paraId="79C29AB5" w14:textId="062698EB" w:rsidR="002D6E7A" w:rsidRPr="00F91944" w:rsidRDefault="009A100D" w:rsidP="00121E0C">
      <w:pPr>
        <w:pStyle w:val="Textoindependiente"/>
        <w:spacing w:before="0"/>
        <w:ind w:left="742" w:right="91" w:hanging="630"/>
        <w:rPr>
          <w:color w:val="4D565E"/>
          <w:sz w:val="16"/>
          <w:szCs w:val="16"/>
        </w:rPr>
      </w:pPr>
      <w:r>
        <w:rPr>
          <w:color w:val="4D565E"/>
          <w:sz w:val="16"/>
          <w:szCs w:val="16"/>
          <w:vertAlign w:val="superscript"/>
        </w:rPr>
        <w:t>2</w:t>
      </w:r>
      <w:r w:rsidR="002D6E7A" w:rsidRPr="00F91944">
        <w:rPr>
          <w:color w:val="4D565E"/>
          <w:sz w:val="16"/>
          <w:szCs w:val="16"/>
          <w:vertAlign w:val="superscript"/>
        </w:rPr>
        <w:t>/</w:t>
      </w:r>
      <w:r w:rsidR="002D6E7A" w:rsidRPr="00F91944">
        <w:rPr>
          <w:color w:val="4D565E"/>
          <w:sz w:val="16"/>
          <w:szCs w:val="16"/>
          <w:vertAlign w:val="superscript"/>
        </w:rPr>
        <w:tab/>
      </w:r>
      <w:r w:rsidR="002D6E7A" w:rsidRPr="00F91944">
        <w:rPr>
          <w:color w:val="4D565E"/>
          <w:sz w:val="16"/>
          <w:szCs w:val="16"/>
        </w:rPr>
        <w:t>Las contribuciones se obtienen ponderando las tasas de crecimiento con la participación que cada estado tiene en la actividad económica nacional.</w:t>
      </w:r>
    </w:p>
    <w:p w14:paraId="39B5FDCD" w14:textId="476429D5" w:rsidR="002D6E7A" w:rsidRPr="00F91944" w:rsidRDefault="002D6E7A" w:rsidP="00121E0C">
      <w:pPr>
        <w:pStyle w:val="Textoindependiente"/>
        <w:spacing w:before="0"/>
        <w:ind w:left="742" w:right="91" w:hanging="630"/>
        <w:jc w:val="left"/>
        <w:rPr>
          <w:color w:val="4D565E"/>
          <w:sz w:val="16"/>
          <w:szCs w:val="16"/>
        </w:rPr>
      </w:pPr>
      <w:r w:rsidRPr="00F91944">
        <w:rPr>
          <w:color w:val="4D565E"/>
          <w:sz w:val="16"/>
          <w:szCs w:val="16"/>
        </w:rPr>
        <w:t>Fuente:</w:t>
      </w:r>
      <w:r w:rsidRPr="00F91944">
        <w:rPr>
          <w:color w:val="4D565E"/>
          <w:sz w:val="16"/>
          <w:szCs w:val="16"/>
        </w:rPr>
        <w:tab/>
      </w:r>
      <w:r w:rsidRPr="00F91944">
        <w:rPr>
          <w:smallCaps/>
          <w:color w:val="4D565E"/>
          <w:sz w:val="16"/>
          <w:szCs w:val="16"/>
        </w:rPr>
        <w:t>inegi.</w:t>
      </w:r>
      <w:r w:rsidRPr="00F91944">
        <w:rPr>
          <w:color w:val="4D565E"/>
          <w:sz w:val="16"/>
          <w:szCs w:val="16"/>
        </w:rPr>
        <w:t xml:space="preserve"> </w:t>
      </w:r>
      <w:r w:rsidRPr="00F91944">
        <w:rPr>
          <w:bCs/>
          <w:color w:val="4D565E"/>
          <w:sz w:val="16"/>
          <w:szCs w:val="16"/>
        </w:rPr>
        <w:t>Sistema de Cuentas Nacionales de México</w:t>
      </w:r>
      <w:r w:rsidRPr="00F91944">
        <w:rPr>
          <w:bCs/>
          <w:smallCaps/>
          <w:color w:val="4D565E"/>
          <w:sz w:val="16"/>
          <w:szCs w:val="16"/>
        </w:rPr>
        <w:t xml:space="preserve"> (</w:t>
      </w:r>
      <w:proofErr w:type="spellStart"/>
      <w:r w:rsidRPr="00F91944">
        <w:rPr>
          <w:bCs/>
          <w:smallCaps/>
          <w:color w:val="4D565E"/>
          <w:sz w:val="16"/>
          <w:szCs w:val="16"/>
        </w:rPr>
        <w:t>scnm</w:t>
      </w:r>
      <w:proofErr w:type="spellEnd"/>
      <w:r w:rsidRPr="00F91944">
        <w:rPr>
          <w:bCs/>
          <w:smallCaps/>
          <w:color w:val="4D565E"/>
          <w:sz w:val="16"/>
          <w:szCs w:val="16"/>
        </w:rPr>
        <w:t>)</w:t>
      </w:r>
      <w:r w:rsidRPr="00F91944">
        <w:rPr>
          <w:smallCaps/>
          <w:color w:val="4D565E"/>
          <w:sz w:val="16"/>
          <w:szCs w:val="16"/>
        </w:rPr>
        <w:t xml:space="preserve">. </w:t>
      </w:r>
      <w:r w:rsidRPr="00F91944">
        <w:rPr>
          <w:color w:val="4D565E"/>
          <w:sz w:val="16"/>
          <w:szCs w:val="16"/>
        </w:rPr>
        <w:t>Indicador Trimestral de la Actividad Económica Estatal (</w:t>
      </w:r>
      <w:proofErr w:type="spellStart"/>
      <w:r w:rsidRPr="00F91944">
        <w:rPr>
          <w:smallCaps/>
          <w:color w:val="4D565E"/>
          <w:sz w:val="16"/>
          <w:szCs w:val="16"/>
        </w:rPr>
        <w:t>itaee</w:t>
      </w:r>
      <w:proofErr w:type="spellEnd"/>
      <w:r w:rsidRPr="00F91944">
        <w:rPr>
          <w:color w:val="4D565E"/>
          <w:sz w:val="16"/>
          <w:szCs w:val="16"/>
        </w:rPr>
        <w:t xml:space="preserve">), </w:t>
      </w:r>
      <w:r w:rsidR="00E73350">
        <w:rPr>
          <w:color w:val="4D565E"/>
          <w:sz w:val="16"/>
          <w:szCs w:val="16"/>
        </w:rPr>
        <w:t>2025</w:t>
      </w:r>
      <w:r w:rsidRPr="00F91944">
        <w:rPr>
          <w:color w:val="4D565E"/>
          <w:sz w:val="16"/>
          <w:szCs w:val="16"/>
        </w:rPr>
        <w:t>.</w:t>
      </w:r>
    </w:p>
    <w:p w14:paraId="5FDE0263" w14:textId="77777777" w:rsidR="002D6E7A" w:rsidRPr="00F91944" w:rsidRDefault="002D6E7A" w:rsidP="002D6E7A">
      <w:pPr>
        <w:pStyle w:val="Textoindependiente"/>
        <w:jc w:val="center"/>
        <w:rPr>
          <w:color w:val="4D565E"/>
          <w:sz w:val="20"/>
        </w:rPr>
      </w:pPr>
      <w:r w:rsidRPr="00F91944">
        <w:rPr>
          <w:color w:val="4D565E"/>
          <w:sz w:val="20"/>
        </w:rPr>
        <w:lastRenderedPageBreak/>
        <w:t>Gráfica 3</w:t>
      </w:r>
    </w:p>
    <w:p w14:paraId="630E8A9F" w14:textId="45014941" w:rsidR="002D6E7A" w:rsidRPr="0033308D" w:rsidRDefault="002D6E7A" w:rsidP="002D6E7A">
      <w:pPr>
        <w:pStyle w:val="p02"/>
        <w:keepLines w:val="0"/>
        <w:widowControl w:val="0"/>
        <w:spacing w:before="0"/>
        <w:ind w:right="0"/>
        <w:jc w:val="center"/>
        <w:rPr>
          <w:rFonts w:ascii="Arial Negrita" w:hAnsi="Arial Negrita" w:cs="Arial"/>
          <w:b/>
          <w:color w:val="003057"/>
          <w:sz w:val="22"/>
        </w:rPr>
      </w:pPr>
      <w:r w:rsidRPr="0033308D">
        <w:rPr>
          <w:rFonts w:ascii="Arial Negrita" w:hAnsi="Arial Negrita" w:cs="Arial"/>
          <w:b/>
          <w:color w:val="003057"/>
          <w:sz w:val="22"/>
        </w:rPr>
        <w:t xml:space="preserve">Variación anual y contribución de las actividades primarias </w:t>
      </w:r>
    </w:p>
    <w:p w14:paraId="00BE244F" w14:textId="39A7C241" w:rsidR="00856C6B" w:rsidRPr="00F91944" w:rsidRDefault="00AC6EDF" w:rsidP="00856C6B">
      <w:pPr>
        <w:pStyle w:val="p02"/>
        <w:keepLines w:val="0"/>
        <w:widowControl w:val="0"/>
        <w:spacing w:before="0"/>
        <w:ind w:right="0"/>
        <w:jc w:val="center"/>
        <w:rPr>
          <w:rFonts w:ascii="Arial" w:hAnsi="Arial" w:cs="Arial"/>
          <w:bCs/>
          <w:color w:val="27251F"/>
          <w:sz w:val="20"/>
        </w:rPr>
      </w:pPr>
      <w:r>
        <w:rPr>
          <w:rFonts w:ascii="Arial" w:hAnsi="Arial" w:cs="Arial"/>
          <w:bCs/>
          <w:color w:val="27251F"/>
          <w:sz w:val="20"/>
          <w:szCs w:val="18"/>
        </w:rPr>
        <w:t>tercer</w:t>
      </w:r>
      <w:r w:rsidR="00856C6B" w:rsidRPr="00F91944">
        <w:rPr>
          <w:rFonts w:ascii="Arial" w:hAnsi="Arial" w:cs="Arial"/>
          <w:bCs/>
          <w:color w:val="27251F"/>
          <w:sz w:val="20"/>
          <w:szCs w:val="18"/>
        </w:rPr>
        <w:t xml:space="preserve"> trimestre </w:t>
      </w:r>
      <w:r w:rsidR="00856C6B" w:rsidRPr="00F91944">
        <w:rPr>
          <w:rFonts w:ascii="Arial" w:hAnsi="Arial" w:cs="Arial"/>
          <w:bCs/>
          <w:color w:val="27251F"/>
          <w:sz w:val="20"/>
        </w:rPr>
        <w:t>de 2024</w:t>
      </w:r>
      <w:r w:rsidR="00FF059D" w:rsidRPr="00FF059D">
        <w:rPr>
          <w:rFonts w:ascii="Arial" w:hAnsi="Arial" w:cs="Arial"/>
          <w:bCs/>
          <w:color w:val="27251F"/>
          <w:sz w:val="20"/>
          <w:vertAlign w:val="superscript"/>
        </w:rPr>
        <w:t>1/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0"/>
        <w:gridCol w:w="154"/>
        <w:gridCol w:w="4910"/>
      </w:tblGrid>
      <w:tr w:rsidR="00121E0C" w:rsidRPr="00121E0C" w14:paraId="5489FF89" w14:textId="77777777" w:rsidTr="00066155">
        <w:trPr>
          <w:trHeight w:hRule="exact" w:val="567"/>
        </w:trPr>
        <w:tc>
          <w:tcPr>
            <w:tcW w:w="4910" w:type="dxa"/>
            <w:vAlign w:val="center"/>
          </w:tcPr>
          <w:p w14:paraId="423A309C" w14:textId="7A5A86E0" w:rsidR="00121E0C" w:rsidRPr="003E479F" w:rsidRDefault="00856C6B">
            <w:pPr>
              <w:pStyle w:val="p0"/>
              <w:spacing w:before="0"/>
              <w:jc w:val="center"/>
              <w:rPr>
                <w:rFonts w:ascii="Arial" w:hAnsi="Arial"/>
                <w:color w:val="auto"/>
                <w:sz w:val="20"/>
                <w:szCs w:val="20"/>
                <w:lang w:val="es-MX"/>
              </w:rPr>
            </w:pPr>
            <w:r w:rsidRPr="003E479F">
              <w:rPr>
                <w:rFonts w:ascii="Arial" w:hAnsi="Arial"/>
                <w:color w:val="4D565E"/>
                <w:sz w:val="20"/>
                <w:szCs w:val="20"/>
              </w:rPr>
              <w:t xml:space="preserve">Variación </w:t>
            </w:r>
            <w:r w:rsidR="00EE4A8D" w:rsidRPr="003E479F">
              <w:rPr>
                <w:rFonts w:ascii="Arial" w:hAnsi="Arial"/>
                <w:color w:val="4D565E"/>
                <w:sz w:val="20"/>
                <w:szCs w:val="20"/>
              </w:rPr>
              <w:t xml:space="preserve">porcentual </w:t>
            </w:r>
            <w:r w:rsidRPr="003E479F">
              <w:rPr>
                <w:rFonts w:ascii="Arial" w:hAnsi="Arial"/>
                <w:color w:val="4D565E"/>
                <w:sz w:val="20"/>
                <w:szCs w:val="20"/>
              </w:rPr>
              <w:t xml:space="preserve">real </w:t>
            </w:r>
            <w:r w:rsidR="00EE4A8D" w:rsidRPr="003E479F">
              <w:rPr>
                <w:rFonts w:ascii="Arial" w:hAnsi="Arial"/>
                <w:color w:val="4D565E"/>
                <w:sz w:val="20"/>
                <w:szCs w:val="20"/>
              </w:rPr>
              <w:br/>
            </w:r>
            <w:r w:rsidRPr="003E479F">
              <w:rPr>
                <w:rFonts w:ascii="Arial" w:hAnsi="Arial"/>
                <w:color w:val="4D565E"/>
                <w:sz w:val="20"/>
                <w:szCs w:val="20"/>
              </w:rPr>
              <w:t xml:space="preserve">respecto al </w:t>
            </w:r>
            <w:r w:rsidR="00E73350" w:rsidRPr="003E479F">
              <w:rPr>
                <w:rFonts w:ascii="Arial" w:hAnsi="Arial"/>
                <w:color w:val="4D565E"/>
                <w:sz w:val="20"/>
                <w:szCs w:val="20"/>
              </w:rPr>
              <w:t>tercer</w:t>
            </w:r>
            <w:r w:rsidR="00EE4A8D" w:rsidRPr="003E479F">
              <w:rPr>
                <w:rFonts w:ascii="Arial" w:hAnsi="Arial"/>
                <w:color w:val="4D565E"/>
                <w:sz w:val="20"/>
                <w:szCs w:val="20"/>
              </w:rPr>
              <w:t xml:space="preserve"> </w:t>
            </w:r>
            <w:r w:rsidRPr="003E479F">
              <w:rPr>
                <w:rFonts w:ascii="Arial" w:hAnsi="Arial"/>
                <w:color w:val="4D565E"/>
                <w:sz w:val="20"/>
                <w:szCs w:val="20"/>
              </w:rPr>
              <w:t>trimestre de 2023</w:t>
            </w:r>
          </w:p>
        </w:tc>
        <w:tc>
          <w:tcPr>
            <w:tcW w:w="154" w:type="dxa"/>
            <w:vAlign w:val="center"/>
          </w:tcPr>
          <w:p w14:paraId="4D679D9F" w14:textId="77777777" w:rsidR="00121E0C" w:rsidRPr="003E479F" w:rsidRDefault="00121E0C">
            <w:pPr>
              <w:pStyle w:val="p0"/>
              <w:spacing w:before="0"/>
              <w:jc w:val="center"/>
              <w:rPr>
                <w:rFonts w:ascii="Arial" w:hAnsi="Arial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4910" w:type="dxa"/>
            <w:vAlign w:val="center"/>
          </w:tcPr>
          <w:p w14:paraId="1B16CB82" w14:textId="6ADBFEDA" w:rsidR="00121E0C" w:rsidRPr="003E479F" w:rsidRDefault="00121E0C">
            <w:pPr>
              <w:pStyle w:val="p0"/>
              <w:spacing w:before="0"/>
              <w:jc w:val="center"/>
              <w:rPr>
                <w:rFonts w:ascii="Arial" w:hAnsi="Arial"/>
                <w:color w:val="auto"/>
                <w:sz w:val="20"/>
                <w:szCs w:val="20"/>
                <w:lang w:val="es-MX"/>
              </w:rPr>
            </w:pPr>
            <w:r w:rsidRPr="003E479F">
              <w:rPr>
                <w:color w:val="4D565E"/>
                <w:sz w:val="20"/>
                <w:szCs w:val="20"/>
              </w:rPr>
              <w:t xml:space="preserve">Contribución a la variación total real </w:t>
            </w:r>
            <w:r w:rsidRPr="003E479F">
              <w:rPr>
                <w:color w:val="4D565E"/>
                <w:sz w:val="20"/>
                <w:szCs w:val="20"/>
              </w:rPr>
              <w:br/>
              <w:t>de las actividades primarias</w:t>
            </w:r>
            <w:r w:rsidR="00FA6706" w:rsidRPr="003E479F">
              <w:rPr>
                <w:color w:val="4D565E"/>
                <w:sz w:val="20"/>
                <w:szCs w:val="20"/>
                <w:vertAlign w:val="superscript"/>
              </w:rPr>
              <w:t>2</w:t>
            </w:r>
            <w:r w:rsidRPr="003E479F">
              <w:rPr>
                <w:color w:val="4D565E"/>
                <w:sz w:val="20"/>
                <w:szCs w:val="20"/>
                <w:vertAlign w:val="superscript"/>
              </w:rPr>
              <w:t>/</w:t>
            </w:r>
          </w:p>
        </w:tc>
      </w:tr>
      <w:tr w:rsidR="00121E0C" w:rsidRPr="00121E0C" w14:paraId="3D9B049F" w14:textId="77777777" w:rsidTr="00214888">
        <w:tblPrEx>
          <w:tblCellMar>
            <w:left w:w="70" w:type="dxa"/>
            <w:right w:w="70" w:type="dxa"/>
          </w:tblCellMar>
        </w:tblPrEx>
        <w:trPr>
          <w:trHeight w:val="8562"/>
        </w:trPr>
        <w:tc>
          <w:tcPr>
            <w:tcW w:w="4910" w:type="dxa"/>
            <w:vAlign w:val="center"/>
          </w:tcPr>
          <w:p w14:paraId="4D1D0548" w14:textId="59FB9639" w:rsidR="00121E0C" w:rsidRPr="00121E0C" w:rsidRDefault="00214888">
            <w:pPr>
              <w:pStyle w:val="p0"/>
              <w:spacing w:before="0"/>
              <w:jc w:val="center"/>
              <w:rPr>
                <w:rFonts w:ascii="Arial" w:hAnsi="Arial"/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23BEE0E6" wp14:editId="468220A6">
                  <wp:extent cx="3023870" cy="5399405"/>
                  <wp:effectExtent l="0" t="0" r="5080" b="10795"/>
                  <wp:docPr id="1288545262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5"/>
                    </a:graphicData>
                  </a:graphic>
                </wp:inline>
              </w:drawing>
            </w:r>
          </w:p>
        </w:tc>
        <w:tc>
          <w:tcPr>
            <w:tcW w:w="154" w:type="dxa"/>
            <w:vAlign w:val="center"/>
          </w:tcPr>
          <w:p w14:paraId="6D60852D" w14:textId="77777777" w:rsidR="00121E0C" w:rsidRPr="00121E0C" w:rsidRDefault="00121E0C">
            <w:pPr>
              <w:pStyle w:val="p0"/>
              <w:spacing w:before="0"/>
              <w:jc w:val="center"/>
              <w:rPr>
                <w:rFonts w:ascii="Arial" w:hAnsi="Arial"/>
                <w:color w:val="auto"/>
                <w:sz w:val="16"/>
                <w:szCs w:val="16"/>
                <w:lang w:val="es-MX"/>
              </w:rPr>
            </w:pPr>
          </w:p>
        </w:tc>
        <w:tc>
          <w:tcPr>
            <w:tcW w:w="4910" w:type="dxa"/>
            <w:vAlign w:val="center"/>
          </w:tcPr>
          <w:p w14:paraId="2AE21060" w14:textId="0FB67A3E" w:rsidR="00121E0C" w:rsidRPr="00121E0C" w:rsidRDefault="00552E8A">
            <w:pPr>
              <w:pStyle w:val="p0"/>
              <w:spacing w:before="0"/>
              <w:jc w:val="center"/>
              <w:rPr>
                <w:rFonts w:ascii="Arial" w:hAnsi="Arial"/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667C541E" wp14:editId="7009A88B">
                  <wp:extent cx="3023870" cy="5399405"/>
                  <wp:effectExtent l="0" t="0" r="5080" b="10795"/>
                  <wp:docPr id="1901807110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4D1881-021D-42B8-BB4A-190F3F2D32C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6"/>
                    </a:graphicData>
                  </a:graphic>
                </wp:inline>
              </w:drawing>
            </w:r>
          </w:p>
        </w:tc>
      </w:tr>
    </w:tbl>
    <w:p w14:paraId="49A8D858" w14:textId="77777777" w:rsidR="009A100D" w:rsidRDefault="009A100D" w:rsidP="009A100D">
      <w:pPr>
        <w:pStyle w:val="Textoindependiente"/>
        <w:spacing w:before="0"/>
        <w:ind w:left="742" w:right="91" w:hanging="630"/>
        <w:rPr>
          <w:color w:val="4D565E"/>
          <w:sz w:val="16"/>
          <w:szCs w:val="16"/>
          <w:vertAlign w:val="superscript"/>
        </w:rPr>
      </w:pPr>
      <w:r>
        <w:rPr>
          <w:color w:val="4D565E"/>
          <w:sz w:val="16"/>
          <w:szCs w:val="16"/>
          <w:vertAlign w:val="superscript"/>
        </w:rPr>
        <w:t>1</w:t>
      </w:r>
      <w:r w:rsidRPr="00F91944">
        <w:rPr>
          <w:color w:val="4D565E"/>
          <w:sz w:val="16"/>
          <w:szCs w:val="16"/>
          <w:vertAlign w:val="superscript"/>
        </w:rPr>
        <w:t>/</w:t>
      </w:r>
      <w:r w:rsidRPr="00F91944">
        <w:rPr>
          <w:color w:val="4D565E"/>
          <w:sz w:val="16"/>
          <w:szCs w:val="16"/>
          <w:vertAlign w:val="superscript"/>
        </w:rPr>
        <w:tab/>
      </w:r>
      <w:r>
        <w:rPr>
          <w:color w:val="4D565E"/>
          <w:sz w:val="16"/>
          <w:szCs w:val="16"/>
        </w:rPr>
        <w:t>Cifras preliminares.</w:t>
      </w:r>
    </w:p>
    <w:p w14:paraId="52258305" w14:textId="3BA6246F" w:rsidR="002D6E7A" w:rsidRPr="00F91944" w:rsidRDefault="009A100D" w:rsidP="009A100D">
      <w:pPr>
        <w:pStyle w:val="Textoindependiente"/>
        <w:spacing w:before="0"/>
        <w:ind w:left="742" w:right="91" w:hanging="630"/>
        <w:rPr>
          <w:color w:val="4D565E"/>
          <w:sz w:val="16"/>
          <w:szCs w:val="16"/>
        </w:rPr>
      </w:pPr>
      <w:r>
        <w:rPr>
          <w:color w:val="4D565E"/>
          <w:sz w:val="16"/>
          <w:szCs w:val="16"/>
          <w:vertAlign w:val="superscript"/>
        </w:rPr>
        <w:t>2</w:t>
      </w:r>
      <w:r w:rsidRPr="00F91944">
        <w:rPr>
          <w:color w:val="4D565E"/>
          <w:sz w:val="16"/>
          <w:szCs w:val="16"/>
          <w:vertAlign w:val="superscript"/>
        </w:rPr>
        <w:t>/</w:t>
      </w:r>
      <w:r w:rsidRPr="00F91944">
        <w:rPr>
          <w:color w:val="4D565E"/>
          <w:sz w:val="16"/>
          <w:szCs w:val="16"/>
          <w:vertAlign w:val="superscript"/>
        </w:rPr>
        <w:tab/>
      </w:r>
      <w:r w:rsidRPr="00F91944">
        <w:rPr>
          <w:color w:val="4D565E"/>
          <w:sz w:val="16"/>
          <w:szCs w:val="16"/>
        </w:rPr>
        <w:t>Las contribuciones se obtienen ponderando las tasas de crecimiento con la participación que cada estado tiene en la</w:t>
      </w:r>
      <w:r w:rsidR="00EE4A8D">
        <w:rPr>
          <w:color w:val="4D565E"/>
          <w:sz w:val="16"/>
          <w:szCs w:val="16"/>
        </w:rPr>
        <w:t>s</w:t>
      </w:r>
      <w:r w:rsidRPr="00F91944">
        <w:rPr>
          <w:color w:val="4D565E"/>
          <w:sz w:val="16"/>
          <w:szCs w:val="16"/>
        </w:rPr>
        <w:t xml:space="preserve"> actividad</w:t>
      </w:r>
      <w:r w:rsidR="00EE4A8D">
        <w:rPr>
          <w:color w:val="4D565E"/>
          <w:sz w:val="16"/>
          <w:szCs w:val="16"/>
        </w:rPr>
        <w:t>es</w:t>
      </w:r>
      <w:r w:rsidRPr="00F91944">
        <w:rPr>
          <w:color w:val="4D565E"/>
          <w:sz w:val="16"/>
          <w:szCs w:val="16"/>
        </w:rPr>
        <w:t xml:space="preserve"> </w:t>
      </w:r>
      <w:r w:rsidR="00EE4A8D">
        <w:rPr>
          <w:color w:val="4D565E"/>
          <w:sz w:val="16"/>
          <w:szCs w:val="16"/>
        </w:rPr>
        <w:t>primarias</w:t>
      </w:r>
      <w:r w:rsidRPr="00F91944">
        <w:rPr>
          <w:color w:val="4D565E"/>
          <w:sz w:val="16"/>
          <w:szCs w:val="16"/>
        </w:rPr>
        <w:t>.</w:t>
      </w:r>
    </w:p>
    <w:p w14:paraId="04202917" w14:textId="7C2062CE" w:rsidR="002D6E7A" w:rsidRPr="00F91944" w:rsidRDefault="002D6E7A" w:rsidP="0048518E">
      <w:pPr>
        <w:pStyle w:val="Textoindependiente"/>
        <w:spacing w:before="0"/>
        <w:ind w:left="742" w:right="91" w:hanging="630"/>
        <w:rPr>
          <w:snapToGrid w:val="0"/>
          <w:color w:val="4D565E"/>
          <w:sz w:val="16"/>
        </w:rPr>
      </w:pPr>
      <w:r w:rsidRPr="00F91944">
        <w:rPr>
          <w:color w:val="4D565E"/>
          <w:sz w:val="16"/>
          <w:szCs w:val="16"/>
        </w:rPr>
        <w:t>Fuente:</w:t>
      </w:r>
      <w:r w:rsidRPr="00F91944">
        <w:rPr>
          <w:color w:val="4D565E"/>
          <w:sz w:val="16"/>
          <w:szCs w:val="16"/>
        </w:rPr>
        <w:tab/>
      </w:r>
      <w:r w:rsidRPr="00F91944">
        <w:rPr>
          <w:smallCaps/>
          <w:color w:val="4D565E"/>
          <w:sz w:val="16"/>
          <w:szCs w:val="16"/>
        </w:rPr>
        <w:t>inegi.</w:t>
      </w:r>
      <w:r w:rsidRPr="00F91944">
        <w:rPr>
          <w:color w:val="4D565E"/>
          <w:sz w:val="16"/>
          <w:szCs w:val="16"/>
        </w:rPr>
        <w:t xml:space="preserve"> </w:t>
      </w:r>
      <w:r w:rsidRPr="00F91944">
        <w:rPr>
          <w:bCs/>
          <w:color w:val="4D565E"/>
          <w:sz w:val="16"/>
          <w:szCs w:val="16"/>
        </w:rPr>
        <w:t>Sistema de Cuentas Nacionales de México</w:t>
      </w:r>
      <w:r w:rsidRPr="00F91944">
        <w:rPr>
          <w:bCs/>
          <w:smallCaps/>
          <w:color w:val="4D565E"/>
          <w:sz w:val="16"/>
          <w:szCs w:val="16"/>
        </w:rPr>
        <w:t xml:space="preserve"> (</w:t>
      </w:r>
      <w:proofErr w:type="spellStart"/>
      <w:r w:rsidRPr="00F91944">
        <w:rPr>
          <w:bCs/>
          <w:smallCaps/>
          <w:color w:val="4D565E"/>
          <w:sz w:val="16"/>
          <w:szCs w:val="16"/>
        </w:rPr>
        <w:t>scnm</w:t>
      </w:r>
      <w:proofErr w:type="spellEnd"/>
      <w:r w:rsidRPr="00F91944">
        <w:rPr>
          <w:bCs/>
          <w:smallCaps/>
          <w:color w:val="4D565E"/>
          <w:sz w:val="16"/>
          <w:szCs w:val="16"/>
        </w:rPr>
        <w:t>)</w:t>
      </w:r>
      <w:r w:rsidRPr="00F91944">
        <w:rPr>
          <w:smallCaps/>
          <w:color w:val="4D565E"/>
          <w:sz w:val="16"/>
          <w:szCs w:val="16"/>
        </w:rPr>
        <w:t xml:space="preserve">. </w:t>
      </w:r>
      <w:r w:rsidRPr="00F91944">
        <w:rPr>
          <w:color w:val="4D565E"/>
          <w:sz w:val="16"/>
          <w:szCs w:val="16"/>
        </w:rPr>
        <w:t>Indicador Trimestral de la Actividad Económica Estatal (</w:t>
      </w:r>
      <w:proofErr w:type="spellStart"/>
      <w:r w:rsidRPr="00F91944">
        <w:rPr>
          <w:smallCaps/>
          <w:color w:val="4D565E"/>
          <w:sz w:val="16"/>
          <w:szCs w:val="16"/>
        </w:rPr>
        <w:t>itaee</w:t>
      </w:r>
      <w:proofErr w:type="spellEnd"/>
      <w:r w:rsidRPr="00F91944">
        <w:rPr>
          <w:color w:val="4D565E"/>
          <w:sz w:val="16"/>
          <w:szCs w:val="16"/>
        </w:rPr>
        <w:t xml:space="preserve">), </w:t>
      </w:r>
      <w:r w:rsidR="00E73350">
        <w:rPr>
          <w:color w:val="4D565E"/>
          <w:sz w:val="16"/>
          <w:szCs w:val="16"/>
        </w:rPr>
        <w:t>2025</w:t>
      </w:r>
      <w:r w:rsidRPr="00F91944">
        <w:rPr>
          <w:color w:val="4D565E"/>
          <w:sz w:val="16"/>
          <w:szCs w:val="16"/>
        </w:rPr>
        <w:t>.</w:t>
      </w:r>
    </w:p>
    <w:p w14:paraId="60D51BC3" w14:textId="77777777" w:rsidR="002D6E7A" w:rsidRPr="002D6E7A" w:rsidRDefault="002D6E7A" w:rsidP="002D6E7A">
      <w:r w:rsidRPr="002D6E7A">
        <w:br w:type="page"/>
      </w:r>
    </w:p>
    <w:p w14:paraId="6A9701D2" w14:textId="77777777" w:rsidR="002D6E7A" w:rsidRPr="00F91944" w:rsidRDefault="002D6E7A" w:rsidP="002D6E7A">
      <w:pPr>
        <w:pStyle w:val="p02"/>
        <w:keepLines w:val="0"/>
        <w:widowControl w:val="0"/>
        <w:spacing w:before="0"/>
        <w:ind w:right="0"/>
        <w:jc w:val="center"/>
        <w:rPr>
          <w:rFonts w:ascii="Arial" w:hAnsi="Arial" w:cs="Arial"/>
          <w:bCs/>
          <w:color w:val="4D565E"/>
          <w:sz w:val="20"/>
          <w:szCs w:val="18"/>
        </w:rPr>
      </w:pPr>
      <w:r w:rsidRPr="00F91944">
        <w:rPr>
          <w:rFonts w:ascii="Arial" w:hAnsi="Arial" w:cs="Arial"/>
          <w:bCs/>
          <w:color w:val="4D565E"/>
          <w:sz w:val="20"/>
          <w:szCs w:val="18"/>
        </w:rPr>
        <w:lastRenderedPageBreak/>
        <w:t>Gráfica 4</w:t>
      </w:r>
    </w:p>
    <w:p w14:paraId="3E2DCA67" w14:textId="2C33FFF0" w:rsidR="002D6E7A" w:rsidRPr="0033308D" w:rsidRDefault="002D6E7A" w:rsidP="002D6E7A">
      <w:pPr>
        <w:pStyle w:val="p02"/>
        <w:keepLines w:val="0"/>
        <w:widowControl w:val="0"/>
        <w:spacing w:before="0"/>
        <w:ind w:right="0"/>
        <w:jc w:val="center"/>
        <w:rPr>
          <w:rFonts w:ascii="Arial Negrita" w:hAnsi="Arial Negrita" w:cs="Arial"/>
          <w:b/>
          <w:color w:val="003057"/>
          <w:sz w:val="22"/>
        </w:rPr>
      </w:pPr>
      <w:r w:rsidRPr="0033308D">
        <w:rPr>
          <w:rFonts w:ascii="Arial Negrita" w:hAnsi="Arial Negrita" w:cs="Arial"/>
          <w:b/>
          <w:color w:val="003057"/>
          <w:sz w:val="22"/>
        </w:rPr>
        <w:t xml:space="preserve">Variación anual y contribución de las actividades secundarias </w:t>
      </w:r>
    </w:p>
    <w:p w14:paraId="68F63A6A" w14:textId="62C6BFF9" w:rsidR="00856C6B" w:rsidRPr="00287F7E" w:rsidRDefault="00AC6EDF" w:rsidP="00856C6B">
      <w:pPr>
        <w:pStyle w:val="p02"/>
        <w:keepLines w:val="0"/>
        <w:widowControl w:val="0"/>
        <w:spacing w:before="0"/>
        <w:ind w:right="0"/>
        <w:jc w:val="center"/>
        <w:rPr>
          <w:rFonts w:ascii="Arial" w:hAnsi="Arial" w:cs="Arial"/>
          <w:bCs/>
          <w:color w:val="27251F"/>
          <w:sz w:val="20"/>
        </w:rPr>
      </w:pPr>
      <w:r w:rsidRPr="00287F7E">
        <w:rPr>
          <w:rFonts w:ascii="Arial" w:hAnsi="Arial" w:cs="Arial"/>
          <w:bCs/>
          <w:color w:val="27251F"/>
          <w:sz w:val="20"/>
          <w:szCs w:val="18"/>
        </w:rPr>
        <w:t>terce</w:t>
      </w:r>
      <w:r w:rsidR="00856C6B" w:rsidRPr="00287F7E">
        <w:rPr>
          <w:rFonts w:ascii="Arial" w:hAnsi="Arial" w:cs="Arial"/>
          <w:bCs/>
          <w:color w:val="27251F"/>
          <w:sz w:val="20"/>
          <w:szCs w:val="18"/>
        </w:rPr>
        <w:t xml:space="preserve">r trimestre </w:t>
      </w:r>
      <w:r w:rsidR="00856C6B" w:rsidRPr="00287F7E">
        <w:rPr>
          <w:rFonts w:ascii="Arial" w:hAnsi="Arial" w:cs="Arial"/>
          <w:bCs/>
          <w:color w:val="27251F"/>
          <w:sz w:val="20"/>
        </w:rPr>
        <w:t>de 2024</w:t>
      </w:r>
      <w:r w:rsidR="00FF059D" w:rsidRPr="00FF059D">
        <w:rPr>
          <w:rFonts w:ascii="Arial" w:hAnsi="Arial" w:cs="Arial"/>
          <w:bCs/>
          <w:color w:val="27251F"/>
          <w:sz w:val="20"/>
          <w:vertAlign w:val="superscript"/>
        </w:rPr>
        <w:t>1/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0"/>
        <w:gridCol w:w="154"/>
        <w:gridCol w:w="4910"/>
      </w:tblGrid>
      <w:tr w:rsidR="00A4683E" w:rsidRPr="00121E0C" w14:paraId="230C4BAF" w14:textId="77777777" w:rsidTr="00066155">
        <w:trPr>
          <w:trHeight w:hRule="exact" w:val="567"/>
        </w:trPr>
        <w:tc>
          <w:tcPr>
            <w:tcW w:w="4910" w:type="dxa"/>
            <w:vAlign w:val="center"/>
          </w:tcPr>
          <w:p w14:paraId="43C4707C" w14:textId="595754A9" w:rsidR="00A4683E" w:rsidRPr="003E479F" w:rsidRDefault="00856C6B">
            <w:pPr>
              <w:pStyle w:val="p0"/>
              <w:spacing w:before="0"/>
              <w:jc w:val="center"/>
              <w:rPr>
                <w:rFonts w:ascii="Arial" w:hAnsi="Arial"/>
                <w:color w:val="auto"/>
                <w:sz w:val="20"/>
                <w:szCs w:val="20"/>
                <w:lang w:val="es-MX"/>
              </w:rPr>
            </w:pPr>
            <w:r w:rsidRPr="003E479F">
              <w:rPr>
                <w:rFonts w:ascii="Arial" w:hAnsi="Arial"/>
                <w:color w:val="4D565E"/>
                <w:sz w:val="20"/>
                <w:szCs w:val="20"/>
              </w:rPr>
              <w:t xml:space="preserve">Variación </w:t>
            </w:r>
            <w:r w:rsidR="00EE4A8D" w:rsidRPr="003E479F">
              <w:rPr>
                <w:rFonts w:ascii="Arial" w:hAnsi="Arial"/>
                <w:color w:val="4D565E"/>
                <w:sz w:val="20"/>
                <w:szCs w:val="20"/>
              </w:rPr>
              <w:t xml:space="preserve">porcentual </w:t>
            </w:r>
            <w:r w:rsidRPr="003E479F">
              <w:rPr>
                <w:rFonts w:ascii="Arial" w:hAnsi="Arial"/>
                <w:color w:val="4D565E"/>
                <w:sz w:val="20"/>
                <w:szCs w:val="20"/>
              </w:rPr>
              <w:t xml:space="preserve">real </w:t>
            </w:r>
            <w:r w:rsidR="00EE4A8D" w:rsidRPr="003E479F">
              <w:rPr>
                <w:rFonts w:ascii="Arial" w:hAnsi="Arial"/>
                <w:color w:val="4D565E"/>
                <w:sz w:val="20"/>
                <w:szCs w:val="20"/>
              </w:rPr>
              <w:br/>
            </w:r>
            <w:r w:rsidRPr="003E479F">
              <w:rPr>
                <w:rFonts w:ascii="Arial" w:hAnsi="Arial"/>
                <w:color w:val="4D565E"/>
                <w:sz w:val="20"/>
                <w:szCs w:val="20"/>
              </w:rPr>
              <w:t xml:space="preserve">respecto al </w:t>
            </w:r>
            <w:r w:rsidR="00E73350" w:rsidRPr="003E479F">
              <w:rPr>
                <w:rFonts w:ascii="Arial" w:hAnsi="Arial"/>
                <w:color w:val="4D565E"/>
                <w:sz w:val="20"/>
                <w:szCs w:val="20"/>
              </w:rPr>
              <w:t>tercer</w:t>
            </w:r>
            <w:r w:rsidR="00EE4A8D" w:rsidRPr="003E479F">
              <w:rPr>
                <w:rFonts w:ascii="Arial" w:hAnsi="Arial"/>
                <w:color w:val="4D565E"/>
                <w:sz w:val="20"/>
                <w:szCs w:val="20"/>
              </w:rPr>
              <w:t xml:space="preserve"> </w:t>
            </w:r>
            <w:r w:rsidRPr="003E479F">
              <w:rPr>
                <w:rFonts w:ascii="Arial" w:hAnsi="Arial"/>
                <w:color w:val="4D565E"/>
                <w:sz w:val="20"/>
                <w:szCs w:val="20"/>
              </w:rPr>
              <w:t>trimestre de 2023</w:t>
            </w:r>
          </w:p>
        </w:tc>
        <w:tc>
          <w:tcPr>
            <w:tcW w:w="154" w:type="dxa"/>
            <w:vAlign w:val="center"/>
          </w:tcPr>
          <w:p w14:paraId="621C1B10" w14:textId="77777777" w:rsidR="00A4683E" w:rsidRPr="003E479F" w:rsidRDefault="00A4683E">
            <w:pPr>
              <w:pStyle w:val="p0"/>
              <w:spacing w:before="0"/>
              <w:jc w:val="center"/>
              <w:rPr>
                <w:rFonts w:ascii="Arial" w:hAnsi="Arial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4910" w:type="dxa"/>
            <w:vAlign w:val="center"/>
          </w:tcPr>
          <w:p w14:paraId="6B4722BB" w14:textId="15782641" w:rsidR="00A4683E" w:rsidRPr="003E479F" w:rsidRDefault="00A4683E">
            <w:pPr>
              <w:pStyle w:val="p0"/>
              <w:spacing w:before="0"/>
              <w:jc w:val="center"/>
              <w:rPr>
                <w:rFonts w:ascii="Arial" w:hAnsi="Arial"/>
                <w:color w:val="4D565E"/>
                <w:sz w:val="20"/>
                <w:szCs w:val="20"/>
                <w:lang w:val="es-MX"/>
              </w:rPr>
            </w:pPr>
            <w:r w:rsidRPr="003E479F">
              <w:rPr>
                <w:color w:val="4D565E"/>
                <w:sz w:val="20"/>
                <w:szCs w:val="20"/>
              </w:rPr>
              <w:t xml:space="preserve">Contribución a la variación total real </w:t>
            </w:r>
            <w:r w:rsidRPr="003E479F">
              <w:rPr>
                <w:color w:val="4D565E"/>
                <w:sz w:val="20"/>
                <w:szCs w:val="20"/>
              </w:rPr>
              <w:br/>
              <w:t>de las actividades secundarias</w:t>
            </w:r>
            <w:r w:rsidR="00FA6706" w:rsidRPr="003E479F">
              <w:rPr>
                <w:color w:val="4D565E"/>
                <w:sz w:val="20"/>
                <w:szCs w:val="20"/>
                <w:vertAlign w:val="superscript"/>
              </w:rPr>
              <w:t>2</w:t>
            </w:r>
            <w:r w:rsidRPr="003E479F">
              <w:rPr>
                <w:color w:val="4D565E"/>
                <w:sz w:val="20"/>
                <w:szCs w:val="20"/>
                <w:vertAlign w:val="superscript"/>
              </w:rPr>
              <w:t>/</w:t>
            </w:r>
          </w:p>
        </w:tc>
      </w:tr>
      <w:tr w:rsidR="00A4683E" w:rsidRPr="00121E0C" w14:paraId="0B0FD4F2" w14:textId="77777777" w:rsidTr="00AB23D0">
        <w:tblPrEx>
          <w:tblCellMar>
            <w:left w:w="70" w:type="dxa"/>
            <w:right w:w="70" w:type="dxa"/>
          </w:tblCellMar>
        </w:tblPrEx>
        <w:trPr>
          <w:trHeight w:val="8562"/>
        </w:trPr>
        <w:tc>
          <w:tcPr>
            <w:tcW w:w="4910" w:type="dxa"/>
            <w:vAlign w:val="center"/>
          </w:tcPr>
          <w:p w14:paraId="29C033D8" w14:textId="4683541E" w:rsidR="00A4683E" w:rsidRPr="00AB23D0" w:rsidRDefault="00AB23D0">
            <w:pPr>
              <w:pStyle w:val="p0"/>
              <w:spacing w:before="0"/>
              <w:jc w:val="center"/>
              <w:rPr>
                <w:rFonts w:ascii="Arial" w:hAnsi="Arial"/>
                <w:color w:val="4D565E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373ED83E" wp14:editId="59BE878D">
                  <wp:extent cx="3023870" cy="5399405"/>
                  <wp:effectExtent l="0" t="0" r="5080" b="10795"/>
                  <wp:docPr id="1849956495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E532D4-0D08-43CE-B144-47EA4546F5A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7"/>
                    </a:graphicData>
                  </a:graphic>
                </wp:inline>
              </w:drawing>
            </w:r>
          </w:p>
        </w:tc>
        <w:tc>
          <w:tcPr>
            <w:tcW w:w="154" w:type="dxa"/>
            <w:vAlign w:val="center"/>
          </w:tcPr>
          <w:p w14:paraId="4D91B2F2" w14:textId="77777777" w:rsidR="00A4683E" w:rsidRPr="00121E0C" w:rsidRDefault="00A4683E">
            <w:pPr>
              <w:pStyle w:val="p0"/>
              <w:spacing w:before="0"/>
              <w:jc w:val="center"/>
              <w:rPr>
                <w:rFonts w:ascii="Arial" w:hAnsi="Arial"/>
                <w:color w:val="auto"/>
                <w:sz w:val="16"/>
                <w:szCs w:val="16"/>
                <w:lang w:val="es-MX"/>
              </w:rPr>
            </w:pPr>
          </w:p>
        </w:tc>
        <w:tc>
          <w:tcPr>
            <w:tcW w:w="4910" w:type="dxa"/>
            <w:vAlign w:val="center"/>
          </w:tcPr>
          <w:p w14:paraId="698AC0B5" w14:textId="389379D6" w:rsidR="00A4683E" w:rsidRPr="00121E0C" w:rsidRDefault="00AB23D0">
            <w:pPr>
              <w:pStyle w:val="p0"/>
              <w:spacing w:before="0"/>
              <w:jc w:val="center"/>
              <w:rPr>
                <w:rFonts w:ascii="Arial" w:hAnsi="Arial"/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0CB5D3D9" wp14:editId="48E96BA8">
                  <wp:extent cx="3023870" cy="5399405"/>
                  <wp:effectExtent l="0" t="0" r="5080" b="10795"/>
                  <wp:docPr id="1115226847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BAEC800-1CAC-4BE0-B60D-B9BA7770F5A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8"/>
                    </a:graphicData>
                  </a:graphic>
                </wp:inline>
              </w:drawing>
            </w:r>
          </w:p>
        </w:tc>
      </w:tr>
    </w:tbl>
    <w:p w14:paraId="241237BD" w14:textId="77777777" w:rsidR="009A100D" w:rsidRDefault="009A100D" w:rsidP="009A100D">
      <w:pPr>
        <w:pStyle w:val="Textoindependiente"/>
        <w:spacing w:before="0"/>
        <w:ind w:left="742" w:right="91" w:hanging="630"/>
        <w:rPr>
          <w:color w:val="4D565E"/>
          <w:sz w:val="16"/>
          <w:szCs w:val="16"/>
          <w:vertAlign w:val="superscript"/>
        </w:rPr>
      </w:pPr>
      <w:r>
        <w:rPr>
          <w:color w:val="4D565E"/>
          <w:sz w:val="16"/>
          <w:szCs w:val="16"/>
          <w:vertAlign w:val="superscript"/>
        </w:rPr>
        <w:t>1</w:t>
      </w:r>
      <w:r w:rsidRPr="00F91944">
        <w:rPr>
          <w:color w:val="4D565E"/>
          <w:sz w:val="16"/>
          <w:szCs w:val="16"/>
          <w:vertAlign w:val="superscript"/>
        </w:rPr>
        <w:t>/</w:t>
      </w:r>
      <w:r w:rsidRPr="00F91944">
        <w:rPr>
          <w:color w:val="4D565E"/>
          <w:sz w:val="16"/>
          <w:szCs w:val="16"/>
          <w:vertAlign w:val="superscript"/>
        </w:rPr>
        <w:tab/>
      </w:r>
      <w:r>
        <w:rPr>
          <w:color w:val="4D565E"/>
          <w:sz w:val="16"/>
          <w:szCs w:val="16"/>
        </w:rPr>
        <w:t>Cifras preliminares.</w:t>
      </w:r>
    </w:p>
    <w:p w14:paraId="505B6DAF" w14:textId="12EC9582" w:rsidR="002D6E7A" w:rsidRPr="00F91944" w:rsidRDefault="009A100D" w:rsidP="009A100D">
      <w:pPr>
        <w:pStyle w:val="Textoindependiente"/>
        <w:spacing w:before="0"/>
        <w:ind w:left="742" w:right="91" w:hanging="630"/>
        <w:rPr>
          <w:color w:val="4D565E"/>
          <w:sz w:val="16"/>
          <w:szCs w:val="16"/>
        </w:rPr>
      </w:pPr>
      <w:r>
        <w:rPr>
          <w:color w:val="4D565E"/>
          <w:sz w:val="16"/>
          <w:szCs w:val="16"/>
          <w:vertAlign w:val="superscript"/>
        </w:rPr>
        <w:t>2</w:t>
      </w:r>
      <w:r w:rsidRPr="00F91944">
        <w:rPr>
          <w:color w:val="4D565E"/>
          <w:sz w:val="16"/>
          <w:szCs w:val="16"/>
          <w:vertAlign w:val="superscript"/>
        </w:rPr>
        <w:t>/</w:t>
      </w:r>
      <w:r w:rsidRPr="00F91944">
        <w:rPr>
          <w:color w:val="4D565E"/>
          <w:sz w:val="16"/>
          <w:szCs w:val="16"/>
          <w:vertAlign w:val="superscript"/>
        </w:rPr>
        <w:tab/>
      </w:r>
      <w:r w:rsidRPr="00F91944">
        <w:rPr>
          <w:color w:val="4D565E"/>
          <w:sz w:val="16"/>
          <w:szCs w:val="16"/>
        </w:rPr>
        <w:t>Las contribuciones se obtienen ponderando las tasas de crecimiento con la participación que cada estado tiene en la</w:t>
      </w:r>
      <w:r w:rsidR="00EE4A8D">
        <w:rPr>
          <w:color w:val="4D565E"/>
          <w:sz w:val="16"/>
          <w:szCs w:val="16"/>
        </w:rPr>
        <w:t>s</w:t>
      </w:r>
      <w:r w:rsidRPr="00F91944">
        <w:rPr>
          <w:color w:val="4D565E"/>
          <w:sz w:val="16"/>
          <w:szCs w:val="16"/>
        </w:rPr>
        <w:t xml:space="preserve"> actividad</w:t>
      </w:r>
      <w:r w:rsidR="00EE4A8D">
        <w:rPr>
          <w:color w:val="4D565E"/>
          <w:sz w:val="16"/>
          <w:szCs w:val="16"/>
        </w:rPr>
        <w:t>es</w:t>
      </w:r>
      <w:r w:rsidRPr="00F91944">
        <w:rPr>
          <w:color w:val="4D565E"/>
          <w:sz w:val="16"/>
          <w:szCs w:val="16"/>
        </w:rPr>
        <w:t xml:space="preserve"> </w:t>
      </w:r>
      <w:r w:rsidR="00EE4A8D">
        <w:rPr>
          <w:color w:val="4D565E"/>
          <w:sz w:val="16"/>
          <w:szCs w:val="16"/>
        </w:rPr>
        <w:t>secundarias</w:t>
      </w:r>
      <w:r w:rsidRPr="00F91944">
        <w:rPr>
          <w:color w:val="4D565E"/>
          <w:sz w:val="16"/>
          <w:szCs w:val="16"/>
        </w:rPr>
        <w:t>.</w:t>
      </w:r>
      <w:r w:rsidR="002D6E7A" w:rsidRPr="00F91944">
        <w:rPr>
          <w:color w:val="4D565E"/>
          <w:sz w:val="16"/>
          <w:szCs w:val="16"/>
        </w:rPr>
        <w:t xml:space="preserve"> </w:t>
      </w:r>
    </w:p>
    <w:p w14:paraId="5E8BB853" w14:textId="1E5B8337" w:rsidR="002D6E7A" w:rsidRPr="002D6E7A" w:rsidRDefault="002D6E7A" w:rsidP="0048518E">
      <w:pPr>
        <w:pStyle w:val="Textoindependiente"/>
        <w:spacing w:before="0"/>
        <w:ind w:left="742" w:right="91" w:hanging="630"/>
        <w:rPr>
          <w:color w:val="auto"/>
          <w:sz w:val="16"/>
          <w:szCs w:val="16"/>
        </w:rPr>
      </w:pPr>
      <w:r w:rsidRPr="00F91944">
        <w:rPr>
          <w:color w:val="4D565E"/>
          <w:sz w:val="16"/>
          <w:szCs w:val="16"/>
        </w:rPr>
        <w:t>Fuente:</w:t>
      </w:r>
      <w:r w:rsidRPr="00F91944">
        <w:rPr>
          <w:color w:val="4D565E"/>
          <w:sz w:val="16"/>
          <w:szCs w:val="16"/>
        </w:rPr>
        <w:tab/>
      </w:r>
      <w:r w:rsidRPr="00F91944">
        <w:rPr>
          <w:smallCaps/>
          <w:color w:val="4D565E"/>
          <w:sz w:val="16"/>
          <w:szCs w:val="16"/>
        </w:rPr>
        <w:t>inegi.</w:t>
      </w:r>
      <w:r w:rsidRPr="00F91944">
        <w:rPr>
          <w:color w:val="4D565E"/>
          <w:sz w:val="16"/>
          <w:szCs w:val="16"/>
        </w:rPr>
        <w:t xml:space="preserve"> </w:t>
      </w:r>
      <w:r w:rsidRPr="00F91944">
        <w:rPr>
          <w:bCs/>
          <w:color w:val="4D565E"/>
          <w:sz w:val="16"/>
          <w:szCs w:val="16"/>
        </w:rPr>
        <w:t>Sistema de Cuentas Nacionales de México</w:t>
      </w:r>
      <w:r w:rsidRPr="00F91944">
        <w:rPr>
          <w:bCs/>
          <w:smallCaps/>
          <w:color w:val="4D565E"/>
          <w:sz w:val="16"/>
          <w:szCs w:val="16"/>
        </w:rPr>
        <w:t xml:space="preserve"> (</w:t>
      </w:r>
      <w:proofErr w:type="spellStart"/>
      <w:r w:rsidRPr="00F91944">
        <w:rPr>
          <w:bCs/>
          <w:smallCaps/>
          <w:color w:val="4D565E"/>
          <w:sz w:val="16"/>
          <w:szCs w:val="16"/>
        </w:rPr>
        <w:t>scnm</w:t>
      </w:r>
      <w:proofErr w:type="spellEnd"/>
      <w:r w:rsidRPr="00F91944">
        <w:rPr>
          <w:bCs/>
          <w:smallCaps/>
          <w:color w:val="4D565E"/>
          <w:sz w:val="16"/>
          <w:szCs w:val="16"/>
        </w:rPr>
        <w:t>)</w:t>
      </w:r>
      <w:r w:rsidRPr="00F91944">
        <w:rPr>
          <w:smallCaps/>
          <w:color w:val="4D565E"/>
          <w:sz w:val="16"/>
          <w:szCs w:val="16"/>
        </w:rPr>
        <w:t xml:space="preserve">. </w:t>
      </w:r>
      <w:r w:rsidRPr="00F91944">
        <w:rPr>
          <w:color w:val="4D565E"/>
          <w:sz w:val="16"/>
          <w:szCs w:val="16"/>
        </w:rPr>
        <w:t>Indicador Trimestral de la Actividad Económica Estatal (</w:t>
      </w:r>
      <w:proofErr w:type="spellStart"/>
      <w:r w:rsidRPr="00F91944">
        <w:rPr>
          <w:smallCaps/>
          <w:color w:val="4D565E"/>
          <w:sz w:val="16"/>
          <w:szCs w:val="16"/>
        </w:rPr>
        <w:t>itaee</w:t>
      </w:r>
      <w:proofErr w:type="spellEnd"/>
      <w:r w:rsidRPr="00F91944">
        <w:rPr>
          <w:color w:val="4D565E"/>
          <w:sz w:val="16"/>
          <w:szCs w:val="16"/>
        </w:rPr>
        <w:t xml:space="preserve">), </w:t>
      </w:r>
      <w:r w:rsidR="00E73350">
        <w:rPr>
          <w:color w:val="4D565E"/>
          <w:sz w:val="16"/>
          <w:szCs w:val="16"/>
        </w:rPr>
        <w:t>2025</w:t>
      </w:r>
      <w:r w:rsidRPr="002D6E7A">
        <w:rPr>
          <w:color w:val="auto"/>
          <w:sz w:val="16"/>
          <w:szCs w:val="16"/>
        </w:rPr>
        <w:t>.</w:t>
      </w:r>
    </w:p>
    <w:p w14:paraId="312B3B9E" w14:textId="77777777" w:rsidR="002D6E7A" w:rsidRPr="002D6E7A" w:rsidRDefault="002D6E7A" w:rsidP="002D6E7A">
      <w:r w:rsidRPr="002D6E7A">
        <w:br w:type="page"/>
      </w:r>
    </w:p>
    <w:p w14:paraId="2A2DCE10" w14:textId="16212ED9" w:rsidR="002D6E7A" w:rsidRPr="00F91944" w:rsidRDefault="002D6E7A" w:rsidP="002D6E7A">
      <w:pPr>
        <w:pStyle w:val="p02"/>
        <w:keepLines w:val="0"/>
        <w:widowControl w:val="0"/>
        <w:spacing w:before="0"/>
        <w:ind w:right="0"/>
        <w:jc w:val="center"/>
        <w:rPr>
          <w:rFonts w:ascii="Arial" w:hAnsi="Arial" w:cs="Arial"/>
          <w:bCs/>
          <w:color w:val="4D565E"/>
          <w:sz w:val="20"/>
          <w:szCs w:val="18"/>
        </w:rPr>
      </w:pPr>
      <w:r w:rsidRPr="00F91944">
        <w:rPr>
          <w:rFonts w:ascii="Arial" w:hAnsi="Arial" w:cs="Arial"/>
          <w:bCs/>
          <w:color w:val="4D565E"/>
          <w:sz w:val="20"/>
          <w:szCs w:val="18"/>
        </w:rPr>
        <w:lastRenderedPageBreak/>
        <w:t xml:space="preserve">Gráfica </w:t>
      </w:r>
      <w:r w:rsidR="00D63C73" w:rsidRPr="00F91944">
        <w:rPr>
          <w:rFonts w:ascii="Arial" w:hAnsi="Arial" w:cs="Arial"/>
          <w:bCs/>
          <w:color w:val="4D565E"/>
          <w:sz w:val="20"/>
          <w:szCs w:val="18"/>
        </w:rPr>
        <w:t>5</w:t>
      </w:r>
    </w:p>
    <w:p w14:paraId="3A46FF66" w14:textId="72B999DF" w:rsidR="002D6E7A" w:rsidRPr="0033308D" w:rsidRDefault="002D6E7A" w:rsidP="002D6E7A">
      <w:pPr>
        <w:pStyle w:val="p02"/>
        <w:keepLines w:val="0"/>
        <w:widowControl w:val="0"/>
        <w:spacing w:before="0"/>
        <w:ind w:right="0"/>
        <w:jc w:val="center"/>
        <w:rPr>
          <w:rFonts w:ascii="Arial Negrita" w:hAnsi="Arial Negrita" w:cs="Arial"/>
          <w:b/>
          <w:color w:val="003057"/>
          <w:sz w:val="22"/>
        </w:rPr>
      </w:pPr>
      <w:r w:rsidRPr="0033308D">
        <w:rPr>
          <w:rFonts w:ascii="Arial Negrita" w:hAnsi="Arial Negrita" w:cs="Arial"/>
          <w:b/>
          <w:color w:val="003057"/>
          <w:sz w:val="22"/>
        </w:rPr>
        <w:t xml:space="preserve">Variación anual y contribución de las actividades terciarias </w:t>
      </w:r>
    </w:p>
    <w:p w14:paraId="36000FC6" w14:textId="009B59B2" w:rsidR="00856C6B" w:rsidRPr="00287F7E" w:rsidRDefault="00AC6EDF" w:rsidP="00856C6B">
      <w:pPr>
        <w:pStyle w:val="p02"/>
        <w:keepLines w:val="0"/>
        <w:widowControl w:val="0"/>
        <w:spacing w:before="0"/>
        <w:ind w:right="0"/>
        <w:jc w:val="center"/>
        <w:rPr>
          <w:rFonts w:ascii="Arial" w:hAnsi="Arial" w:cs="Arial"/>
          <w:bCs/>
          <w:color w:val="27251F"/>
          <w:sz w:val="20"/>
        </w:rPr>
      </w:pPr>
      <w:r w:rsidRPr="00287F7E">
        <w:rPr>
          <w:rFonts w:ascii="Arial" w:hAnsi="Arial" w:cs="Arial"/>
          <w:bCs/>
          <w:color w:val="27251F"/>
          <w:sz w:val="20"/>
          <w:szCs w:val="18"/>
        </w:rPr>
        <w:t>tercer</w:t>
      </w:r>
      <w:r w:rsidR="00856C6B" w:rsidRPr="00287F7E">
        <w:rPr>
          <w:rFonts w:ascii="Arial" w:hAnsi="Arial" w:cs="Arial"/>
          <w:bCs/>
          <w:color w:val="27251F"/>
          <w:sz w:val="20"/>
          <w:szCs w:val="18"/>
        </w:rPr>
        <w:t xml:space="preserve"> trimestre </w:t>
      </w:r>
      <w:r w:rsidR="00856C6B" w:rsidRPr="00287F7E">
        <w:rPr>
          <w:rFonts w:ascii="Arial" w:hAnsi="Arial" w:cs="Arial"/>
          <w:bCs/>
          <w:color w:val="27251F"/>
          <w:sz w:val="20"/>
        </w:rPr>
        <w:t>de 2024</w:t>
      </w:r>
      <w:r w:rsidR="00FF059D" w:rsidRPr="00FF059D">
        <w:rPr>
          <w:rFonts w:ascii="Arial" w:hAnsi="Arial" w:cs="Arial"/>
          <w:bCs/>
          <w:color w:val="27251F"/>
          <w:sz w:val="20"/>
          <w:vertAlign w:val="superscript"/>
        </w:rPr>
        <w:t>1/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0"/>
        <w:gridCol w:w="154"/>
        <w:gridCol w:w="4910"/>
      </w:tblGrid>
      <w:tr w:rsidR="00A4683E" w:rsidRPr="00121E0C" w14:paraId="06F4237A" w14:textId="77777777" w:rsidTr="00454FE9">
        <w:trPr>
          <w:trHeight w:hRule="exact" w:val="567"/>
        </w:trPr>
        <w:tc>
          <w:tcPr>
            <w:tcW w:w="4910" w:type="dxa"/>
            <w:vAlign w:val="center"/>
          </w:tcPr>
          <w:p w14:paraId="34C5D135" w14:textId="7FA408BA" w:rsidR="00A4683E" w:rsidRPr="003E479F" w:rsidRDefault="00A4683E">
            <w:pPr>
              <w:pStyle w:val="p0"/>
              <w:spacing w:before="0"/>
              <w:jc w:val="center"/>
              <w:rPr>
                <w:rFonts w:ascii="Arial" w:hAnsi="Arial"/>
                <w:color w:val="auto"/>
                <w:sz w:val="20"/>
                <w:szCs w:val="20"/>
                <w:lang w:val="es-MX"/>
              </w:rPr>
            </w:pPr>
            <w:r w:rsidRPr="003E479F">
              <w:rPr>
                <w:rFonts w:ascii="Arial" w:hAnsi="Arial"/>
                <w:color w:val="4D565E"/>
                <w:sz w:val="20"/>
                <w:szCs w:val="20"/>
              </w:rPr>
              <w:t xml:space="preserve">Variación </w:t>
            </w:r>
            <w:r w:rsidR="00EE4A8D" w:rsidRPr="003E479F">
              <w:rPr>
                <w:rFonts w:ascii="Arial" w:hAnsi="Arial"/>
                <w:color w:val="4D565E"/>
                <w:sz w:val="20"/>
                <w:szCs w:val="20"/>
              </w:rPr>
              <w:t xml:space="preserve">porcentual </w:t>
            </w:r>
            <w:r w:rsidRPr="003E479F">
              <w:rPr>
                <w:rFonts w:ascii="Arial" w:hAnsi="Arial"/>
                <w:color w:val="4D565E"/>
                <w:sz w:val="20"/>
                <w:szCs w:val="20"/>
              </w:rPr>
              <w:t xml:space="preserve">real </w:t>
            </w:r>
            <w:r w:rsidR="00EE4A8D" w:rsidRPr="003E479F">
              <w:rPr>
                <w:rFonts w:ascii="Arial" w:hAnsi="Arial"/>
                <w:color w:val="4D565E"/>
                <w:sz w:val="20"/>
                <w:szCs w:val="20"/>
              </w:rPr>
              <w:br/>
            </w:r>
            <w:r w:rsidRPr="003E479F">
              <w:rPr>
                <w:rFonts w:ascii="Arial" w:hAnsi="Arial"/>
                <w:color w:val="4D565E"/>
                <w:sz w:val="20"/>
                <w:szCs w:val="20"/>
              </w:rPr>
              <w:t xml:space="preserve">respecto al </w:t>
            </w:r>
            <w:r w:rsidR="005671BC" w:rsidRPr="003E479F">
              <w:rPr>
                <w:rFonts w:ascii="Arial" w:hAnsi="Arial"/>
                <w:color w:val="4D565E"/>
                <w:sz w:val="20"/>
                <w:szCs w:val="20"/>
              </w:rPr>
              <w:t>tercer</w:t>
            </w:r>
            <w:r w:rsidR="00EE4A8D" w:rsidRPr="003E479F">
              <w:rPr>
                <w:rFonts w:ascii="Arial" w:hAnsi="Arial"/>
                <w:color w:val="4D565E"/>
                <w:sz w:val="20"/>
                <w:szCs w:val="20"/>
              </w:rPr>
              <w:t xml:space="preserve"> </w:t>
            </w:r>
            <w:r w:rsidRPr="003E479F">
              <w:rPr>
                <w:rFonts w:ascii="Arial" w:hAnsi="Arial"/>
                <w:color w:val="4D565E"/>
                <w:sz w:val="20"/>
                <w:szCs w:val="20"/>
              </w:rPr>
              <w:t>trimestre de 202</w:t>
            </w:r>
            <w:r w:rsidR="00856C6B" w:rsidRPr="003E479F">
              <w:rPr>
                <w:rFonts w:ascii="Arial" w:hAnsi="Arial"/>
                <w:color w:val="4D565E"/>
                <w:sz w:val="20"/>
                <w:szCs w:val="20"/>
              </w:rPr>
              <w:t>3</w:t>
            </w:r>
          </w:p>
        </w:tc>
        <w:tc>
          <w:tcPr>
            <w:tcW w:w="154" w:type="dxa"/>
            <w:vAlign w:val="center"/>
          </w:tcPr>
          <w:p w14:paraId="23F7C07D" w14:textId="77777777" w:rsidR="00A4683E" w:rsidRPr="003E479F" w:rsidRDefault="00A4683E">
            <w:pPr>
              <w:pStyle w:val="p0"/>
              <w:spacing w:before="0"/>
              <w:jc w:val="center"/>
              <w:rPr>
                <w:rFonts w:ascii="Arial" w:hAnsi="Arial"/>
                <w:color w:val="auto"/>
                <w:sz w:val="20"/>
                <w:szCs w:val="20"/>
                <w:lang w:val="es-MX"/>
              </w:rPr>
            </w:pPr>
          </w:p>
        </w:tc>
        <w:tc>
          <w:tcPr>
            <w:tcW w:w="4910" w:type="dxa"/>
            <w:vAlign w:val="center"/>
          </w:tcPr>
          <w:p w14:paraId="72A033E7" w14:textId="2FB1CEEB" w:rsidR="00A4683E" w:rsidRPr="003E479F" w:rsidRDefault="00A4683E">
            <w:pPr>
              <w:pStyle w:val="p0"/>
              <w:spacing w:before="0"/>
              <w:jc w:val="center"/>
              <w:rPr>
                <w:rFonts w:ascii="Arial" w:hAnsi="Arial"/>
                <w:color w:val="auto"/>
                <w:sz w:val="20"/>
                <w:szCs w:val="20"/>
                <w:lang w:val="es-MX"/>
              </w:rPr>
            </w:pPr>
            <w:r w:rsidRPr="003E479F">
              <w:rPr>
                <w:color w:val="4D565E"/>
                <w:sz w:val="20"/>
                <w:szCs w:val="20"/>
              </w:rPr>
              <w:t xml:space="preserve">Contribución a la variación total real </w:t>
            </w:r>
            <w:r w:rsidRPr="003E479F">
              <w:rPr>
                <w:color w:val="4D565E"/>
                <w:sz w:val="20"/>
                <w:szCs w:val="20"/>
              </w:rPr>
              <w:br/>
              <w:t>de las actividades terciarias</w:t>
            </w:r>
            <w:r w:rsidR="00FA6706" w:rsidRPr="003E479F">
              <w:rPr>
                <w:color w:val="4D565E"/>
                <w:sz w:val="20"/>
                <w:szCs w:val="20"/>
                <w:vertAlign w:val="superscript"/>
              </w:rPr>
              <w:t>2</w:t>
            </w:r>
            <w:r w:rsidRPr="003E479F">
              <w:rPr>
                <w:color w:val="4D565E"/>
                <w:sz w:val="20"/>
                <w:szCs w:val="20"/>
                <w:vertAlign w:val="superscript"/>
              </w:rPr>
              <w:t>/</w:t>
            </w:r>
          </w:p>
        </w:tc>
      </w:tr>
      <w:tr w:rsidR="00A4683E" w:rsidRPr="00121E0C" w14:paraId="156FE418" w14:textId="77777777" w:rsidTr="00A63B5C">
        <w:tblPrEx>
          <w:tblCellMar>
            <w:left w:w="70" w:type="dxa"/>
            <w:right w:w="70" w:type="dxa"/>
          </w:tblCellMar>
        </w:tblPrEx>
        <w:trPr>
          <w:trHeight w:val="8562"/>
        </w:trPr>
        <w:tc>
          <w:tcPr>
            <w:tcW w:w="4910" w:type="dxa"/>
            <w:vAlign w:val="center"/>
          </w:tcPr>
          <w:p w14:paraId="5F01AADA" w14:textId="572E5E6C" w:rsidR="00A4683E" w:rsidRPr="00121E0C" w:rsidRDefault="00A63B5C">
            <w:pPr>
              <w:pStyle w:val="p0"/>
              <w:spacing w:before="0"/>
              <w:jc w:val="center"/>
              <w:rPr>
                <w:rFonts w:ascii="Arial" w:hAnsi="Arial"/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28E93C6A" wp14:editId="16BF668F">
                  <wp:extent cx="3023870" cy="5399405"/>
                  <wp:effectExtent l="0" t="0" r="5080" b="10795"/>
                  <wp:docPr id="139288959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C407B7-785D-4F6B-8708-4A906AE81A3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9"/>
                    </a:graphicData>
                  </a:graphic>
                </wp:inline>
              </w:drawing>
            </w:r>
          </w:p>
        </w:tc>
        <w:tc>
          <w:tcPr>
            <w:tcW w:w="154" w:type="dxa"/>
            <w:vAlign w:val="center"/>
          </w:tcPr>
          <w:p w14:paraId="5E045B7D" w14:textId="77777777" w:rsidR="00A4683E" w:rsidRPr="00121E0C" w:rsidRDefault="00A4683E">
            <w:pPr>
              <w:pStyle w:val="p0"/>
              <w:spacing w:before="0"/>
              <w:jc w:val="center"/>
              <w:rPr>
                <w:rFonts w:ascii="Arial" w:hAnsi="Arial"/>
                <w:color w:val="auto"/>
                <w:sz w:val="16"/>
                <w:szCs w:val="16"/>
                <w:lang w:val="es-MX"/>
              </w:rPr>
            </w:pPr>
          </w:p>
        </w:tc>
        <w:tc>
          <w:tcPr>
            <w:tcW w:w="4910" w:type="dxa"/>
            <w:vAlign w:val="center"/>
          </w:tcPr>
          <w:p w14:paraId="6836B2A2" w14:textId="5A0CFEF6" w:rsidR="00A4683E" w:rsidRPr="00121E0C" w:rsidRDefault="00A63B5C">
            <w:pPr>
              <w:pStyle w:val="p0"/>
              <w:spacing w:before="0"/>
              <w:jc w:val="center"/>
              <w:rPr>
                <w:rFonts w:ascii="Arial" w:hAnsi="Arial"/>
                <w:color w:val="auto"/>
                <w:sz w:val="16"/>
                <w:szCs w:val="16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3F9E0201" wp14:editId="29E2FE07">
                  <wp:extent cx="3023870" cy="5399405"/>
                  <wp:effectExtent l="0" t="0" r="5080" b="10795"/>
                  <wp:docPr id="477809566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F8A0A2-B27D-42AD-9134-6757F65484C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0"/>
                    </a:graphicData>
                  </a:graphic>
                </wp:inline>
              </w:drawing>
            </w:r>
          </w:p>
        </w:tc>
      </w:tr>
    </w:tbl>
    <w:p w14:paraId="1D373A5D" w14:textId="77777777" w:rsidR="009A100D" w:rsidRDefault="009A100D" w:rsidP="009A100D">
      <w:pPr>
        <w:pStyle w:val="Textoindependiente"/>
        <w:spacing w:before="0"/>
        <w:ind w:left="742" w:right="91" w:hanging="630"/>
        <w:rPr>
          <w:color w:val="4D565E"/>
          <w:sz w:val="16"/>
          <w:szCs w:val="16"/>
          <w:vertAlign w:val="superscript"/>
        </w:rPr>
      </w:pPr>
      <w:r>
        <w:rPr>
          <w:color w:val="4D565E"/>
          <w:sz w:val="16"/>
          <w:szCs w:val="16"/>
          <w:vertAlign w:val="superscript"/>
        </w:rPr>
        <w:t>1</w:t>
      </w:r>
      <w:r w:rsidRPr="00F91944">
        <w:rPr>
          <w:color w:val="4D565E"/>
          <w:sz w:val="16"/>
          <w:szCs w:val="16"/>
          <w:vertAlign w:val="superscript"/>
        </w:rPr>
        <w:t>/</w:t>
      </w:r>
      <w:r w:rsidRPr="00F91944">
        <w:rPr>
          <w:color w:val="4D565E"/>
          <w:sz w:val="16"/>
          <w:szCs w:val="16"/>
          <w:vertAlign w:val="superscript"/>
        </w:rPr>
        <w:tab/>
      </w:r>
      <w:r>
        <w:rPr>
          <w:color w:val="4D565E"/>
          <w:sz w:val="16"/>
          <w:szCs w:val="16"/>
        </w:rPr>
        <w:t>Cifras preliminares.</w:t>
      </w:r>
    </w:p>
    <w:p w14:paraId="7EEE6E81" w14:textId="5F50FA38" w:rsidR="002D6E7A" w:rsidRPr="00E46A1D" w:rsidRDefault="009A100D" w:rsidP="009A100D">
      <w:pPr>
        <w:pStyle w:val="Textoindependiente"/>
        <w:spacing w:before="0"/>
        <w:ind w:left="742" w:right="91" w:hanging="630"/>
        <w:rPr>
          <w:color w:val="4D565E"/>
          <w:sz w:val="16"/>
          <w:szCs w:val="16"/>
        </w:rPr>
      </w:pPr>
      <w:r>
        <w:rPr>
          <w:color w:val="4D565E"/>
          <w:sz w:val="16"/>
          <w:szCs w:val="16"/>
          <w:vertAlign w:val="superscript"/>
        </w:rPr>
        <w:t>2</w:t>
      </w:r>
      <w:r w:rsidRPr="00F91944">
        <w:rPr>
          <w:color w:val="4D565E"/>
          <w:sz w:val="16"/>
          <w:szCs w:val="16"/>
          <w:vertAlign w:val="superscript"/>
        </w:rPr>
        <w:t>/</w:t>
      </w:r>
      <w:r w:rsidRPr="00F91944">
        <w:rPr>
          <w:color w:val="4D565E"/>
          <w:sz w:val="16"/>
          <w:szCs w:val="16"/>
          <w:vertAlign w:val="superscript"/>
        </w:rPr>
        <w:tab/>
      </w:r>
      <w:r w:rsidRPr="00F91944">
        <w:rPr>
          <w:color w:val="4D565E"/>
          <w:sz w:val="16"/>
          <w:szCs w:val="16"/>
        </w:rPr>
        <w:t>Las contribuciones se obtienen ponderando las tasas de crecimiento con la participación que cada estado tiene en la</w:t>
      </w:r>
      <w:r w:rsidR="00EE4A8D">
        <w:rPr>
          <w:color w:val="4D565E"/>
          <w:sz w:val="16"/>
          <w:szCs w:val="16"/>
        </w:rPr>
        <w:t>s</w:t>
      </w:r>
      <w:r w:rsidRPr="00F91944">
        <w:rPr>
          <w:color w:val="4D565E"/>
          <w:sz w:val="16"/>
          <w:szCs w:val="16"/>
        </w:rPr>
        <w:t xml:space="preserve"> actividad</w:t>
      </w:r>
      <w:r w:rsidR="00EE4A8D">
        <w:rPr>
          <w:color w:val="4D565E"/>
          <w:sz w:val="16"/>
          <w:szCs w:val="16"/>
        </w:rPr>
        <w:t>es</w:t>
      </w:r>
      <w:r w:rsidRPr="00F91944">
        <w:rPr>
          <w:color w:val="4D565E"/>
          <w:sz w:val="16"/>
          <w:szCs w:val="16"/>
        </w:rPr>
        <w:t xml:space="preserve"> </w:t>
      </w:r>
      <w:r w:rsidR="00EE4A8D">
        <w:rPr>
          <w:color w:val="4D565E"/>
          <w:sz w:val="16"/>
          <w:szCs w:val="16"/>
        </w:rPr>
        <w:t>terciarias</w:t>
      </w:r>
      <w:r w:rsidRPr="00F91944">
        <w:rPr>
          <w:color w:val="4D565E"/>
          <w:sz w:val="16"/>
          <w:szCs w:val="16"/>
        </w:rPr>
        <w:t>.</w:t>
      </w:r>
    </w:p>
    <w:p w14:paraId="1C125243" w14:textId="1F7145AC" w:rsidR="002D6E7A" w:rsidRPr="00F91944" w:rsidRDefault="002D6E7A" w:rsidP="0048518E">
      <w:pPr>
        <w:pStyle w:val="Textoindependiente"/>
        <w:spacing w:before="0"/>
        <w:ind w:left="742" w:right="91" w:hanging="630"/>
        <w:rPr>
          <w:snapToGrid w:val="0"/>
          <w:color w:val="4D565E"/>
        </w:rPr>
      </w:pPr>
      <w:r w:rsidRPr="00F91944">
        <w:rPr>
          <w:color w:val="4D565E"/>
          <w:sz w:val="16"/>
          <w:szCs w:val="16"/>
        </w:rPr>
        <w:t>Fuente:</w:t>
      </w:r>
      <w:r w:rsidRPr="00F91944">
        <w:rPr>
          <w:color w:val="4D565E"/>
          <w:sz w:val="16"/>
          <w:szCs w:val="16"/>
        </w:rPr>
        <w:tab/>
      </w:r>
      <w:r w:rsidRPr="00F91944">
        <w:rPr>
          <w:smallCaps/>
          <w:color w:val="4D565E"/>
          <w:sz w:val="16"/>
          <w:szCs w:val="16"/>
        </w:rPr>
        <w:t>inegi.</w:t>
      </w:r>
      <w:r w:rsidRPr="00F91944">
        <w:rPr>
          <w:color w:val="4D565E"/>
          <w:sz w:val="16"/>
          <w:szCs w:val="16"/>
        </w:rPr>
        <w:t xml:space="preserve"> </w:t>
      </w:r>
      <w:r w:rsidRPr="00F91944">
        <w:rPr>
          <w:bCs/>
          <w:color w:val="4D565E"/>
          <w:sz w:val="16"/>
          <w:szCs w:val="16"/>
        </w:rPr>
        <w:t>Sistema de Cuentas Nacionales de México</w:t>
      </w:r>
      <w:r w:rsidRPr="00F91944">
        <w:rPr>
          <w:bCs/>
          <w:smallCaps/>
          <w:color w:val="4D565E"/>
          <w:sz w:val="16"/>
          <w:szCs w:val="16"/>
        </w:rPr>
        <w:t xml:space="preserve"> (</w:t>
      </w:r>
      <w:proofErr w:type="spellStart"/>
      <w:r w:rsidRPr="00F91944">
        <w:rPr>
          <w:bCs/>
          <w:smallCaps/>
          <w:color w:val="4D565E"/>
          <w:sz w:val="16"/>
          <w:szCs w:val="16"/>
        </w:rPr>
        <w:t>scnm</w:t>
      </w:r>
      <w:proofErr w:type="spellEnd"/>
      <w:r w:rsidRPr="00F91944">
        <w:rPr>
          <w:bCs/>
          <w:smallCaps/>
          <w:color w:val="4D565E"/>
          <w:sz w:val="16"/>
          <w:szCs w:val="16"/>
        </w:rPr>
        <w:t>)</w:t>
      </w:r>
      <w:r w:rsidRPr="00F91944">
        <w:rPr>
          <w:smallCaps/>
          <w:color w:val="4D565E"/>
          <w:sz w:val="16"/>
          <w:szCs w:val="16"/>
        </w:rPr>
        <w:t xml:space="preserve">. </w:t>
      </w:r>
      <w:r w:rsidRPr="00F91944">
        <w:rPr>
          <w:color w:val="4D565E"/>
          <w:sz w:val="16"/>
          <w:szCs w:val="16"/>
        </w:rPr>
        <w:t>Indicador Trimestral de la Actividad Económica Estatal (</w:t>
      </w:r>
      <w:proofErr w:type="spellStart"/>
      <w:r w:rsidRPr="00F91944">
        <w:rPr>
          <w:smallCaps/>
          <w:color w:val="4D565E"/>
          <w:sz w:val="16"/>
          <w:szCs w:val="16"/>
        </w:rPr>
        <w:t>itaee</w:t>
      </w:r>
      <w:proofErr w:type="spellEnd"/>
      <w:r w:rsidRPr="00F91944">
        <w:rPr>
          <w:color w:val="4D565E"/>
          <w:sz w:val="16"/>
          <w:szCs w:val="16"/>
        </w:rPr>
        <w:t xml:space="preserve">), </w:t>
      </w:r>
      <w:r w:rsidR="005671BC">
        <w:rPr>
          <w:color w:val="4D565E"/>
          <w:sz w:val="16"/>
          <w:szCs w:val="16"/>
        </w:rPr>
        <w:t>2025</w:t>
      </w:r>
      <w:r w:rsidRPr="00F91944">
        <w:rPr>
          <w:color w:val="4D565E"/>
          <w:sz w:val="16"/>
          <w:szCs w:val="16"/>
        </w:rPr>
        <w:t>.</w:t>
      </w:r>
    </w:p>
    <w:p w14:paraId="05EA9083" w14:textId="0C535BA5" w:rsidR="002D6E7A" w:rsidRPr="002D6E7A" w:rsidRDefault="002D6E7A" w:rsidP="002D6E7A">
      <w:pPr>
        <w:spacing w:before="360"/>
        <w:rPr>
          <w:snapToGrid w:val="0"/>
        </w:rPr>
      </w:pPr>
      <w:r w:rsidRPr="002D6E7A">
        <w:rPr>
          <w:snapToGrid w:val="0"/>
        </w:rPr>
        <w:t xml:space="preserve">El </w:t>
      </w:r>
      <w:proofErr w:type="spellStart"/>
      <w:r w:rsidR="0058165B">
        <w:rPr>
          <w:smallCaps/>
          <w:snapToGrid w:val="0"/>
        </w:rPr>
        <w:t>itaee</w:t>
      </w:r>
      <w:proofErr w:type="spellEnd"/>
      <w:r w:rsidRPr="002D6E7A">
        <w:rPr>
          <w:snapToGrid w:val="0"/>
        </w:rPr>
        <w:t xml:space="preserve"> incorpora información preliminar de distintas actividades económicas, como las agropecuarias, industriales, comerciales y de servicios. Por ello, debe considerarse como un indicador de tendencia o dirección de la economía</w:t>
      </w:r>
      <w:r w:rsidR="00F7455D">
        <w:rPr>
          <w:snapToGrid w:val="0"/>
        </w:rPr>
        <w:t>,</w:t>
      </w:r>
      <w:r w:rsidRPr="002D6E7A">
        <w:rPr>
          <w:snapToGrid w:val="0"/>
        </w:rPr>
        <w:t xml:space="preserve"> a nivel estatal</w:t>
      </w:r>
      <w:r w:rsidR="002D5C83">
        <w:rPr>
          <w:snapToGrid w:val="0"/>
        </w:rPr>
        <w:t xml:space="preserve"> y</w:t>
      </w:r>
      <w:r w:rsidRPr="002D6E7A">
        <w:rPr>
          <w:snapToGrid w:val="0"/>
        </w:rPr>
        <w:t xml:space="preserve"> en el corto plazo.</w:t>
      </w:r>
    </w:p>
    <w:p w14:paraId="081B57AB" w14:textId="04F55FFD" w:rsidR="00AA2B3A" w:rsidRPr="00AA2B3A" w:rsidRDefault="009D70F7" w:rsidP="00AA2B3A">
      <w:pPr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FEF7AD9" w14:textId="6F490DC4" w:rsidR="00B730F2" w:rsidRPr="00A53062" w:rsidRDefault="00A53062" w:rsidP="00A53062">
      <w:pPr>
        <w:spacing w:after="120"/>
        <w:jc w:val="center"/>
        <w:rPr>
          <w:b/>
          <w:bCs/>
          <w:smallCaps/>
          <w:sz w:val="26"/>
          <w:szCs w:val="26"/>
        </w:rPr>
      </w:pPr>
      <w:proofErr w:type="spellStart"/>
      <w:r>
        <w:rPr>
          <w:b/>
          <w:bCs/>
          <w:smallCaps/>
          <w:sz w:val="26"/>
          <w:szCs w:val="26"/>
        </w:rPr>
        <w:lastRenderedPageBreak/>
        <w:t>iii</w:t>
      </w:r>
      <w:proofErr w:type="spellEnd"/>
      <w:r>
        <w:rPr>
          <w:b/>
          <w:bCs/>
          <w:smallCaps/>
          <w:sz w:val="26"/>
          <w:szCs w:val="26"/>
        </w:rPr>
        <w:t xml:space="preserve">. </w:t>
      </w:r>
      <w:r w:rsidR="00AA2B3A" w:rsidRPr="00A53062">
        <w:rPr>
          <w:b/>
          <w:bCs/>
          <w:smallCaps/>
          <w:sz w:val="26"/>
          <w:szCs w:val="26"/>
        </w:rPr>
        <w:t>fi</w:t>
      </w:r>
      <w:r w:rsidR="00CE62C6" w:rsidRPr="00A53062">
        <w:rPr>
          <w:b/>
          <w:bCs/>
          <w:smallCaps/>
          <w:sz w:val="26"/>
          <w:szCs w:val="26"/>
        </w:rPr>
        <w:t>cha metodológica</w:t>
      </w:r>
      <w:r w:rsidR="00E46A1D">
        <w:rPr>
          <w:b/>
          <w:bCs/>
          <w:smallCaps/>
          <w:sz w:val="26"/>
          <w:szCs w:val="26"/>
        </w:rPr>
        <w:t xml:space="preserve"> </w:t>
      </w:r>
    </w:p>
    <w:tbl>
      <w:tblPr>
        <w:tblStyle w:val="Tablaconcuadrcula"/>
        <w:tblW w:w="5000" w:type="pct"/>
        <w:jc w:val="center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0"/>
        <w:gridCol w:w="7694"/>
      </w:tblGrid>
      <w:tr w:rsidR="00B730F2" w:rsidRPr="003E479F" w14:paraId="1E5D9A3C" w14:textId="77777777" w:rsidTr="007451F0">
        <w:trPr>
          <w:jc w:val="center"/>
        </w:trPr>
        <w:tc>
          <w:tcPr>
            <w:tcW w:w="2268" w:type="dxa"/>
            <w:vAlign w:val="center"/>
          </w:tcPr>
          <w:p w14:paraId="0A62BEC8" w14:textId="77777777" w:rsidR="00B730F2" w:rsidRPr="003E479F" w:rsidRDefault="00B730F2" w:rsidP="007451F0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6"/>
                <w:szCs w:val="16"/>
              </w:rPr>
            </w:pPr>
            <w:r w:rsidRPr="003E479F">
              <w:rPr>
                <w:b/>
                <w:bCs/>
                <w:color w:val="auto"/>
                <w:spacing w:val="-1"/>
                <w:sz w:val="16"/>
                <w:szCs w:val="16"/>
              </w:rPr>
              <w:t>Antecedentes</w:t>
            </w:r>
          </w:p>
        </w:tc>
        <w:tc>
          <w:tcPr>
            <w:tcW w:w="7689" w:type="dxa"/>
            <w:vAlign w:val="center"/>
          </w:tcPr>
          <w:p w14:paraId="3DAEF4EE" w14:textId="0432821C" w:rsidR="00147068" w:rsidRPr="003E479F" w:rsidRDefault="00996F51" w:rsidP="007E12BF">
            <w:pPr>
              <w:pStyle w:val="Prrafodelista"/>
              <w:widowControl w:val="0"/>
              <w:autoSpaceDE w:val="0"/>
              <w:autoSpaceDN w:val="0"/>
              <w:adjustRightInd w:val="0"/>
              <w:ind w:left="142" w:right="142"/>
              <w:rPr>
                <w:sz w:val="16"/>
                <w:szCs w:val="16"/>
                <w:lang w:val="es-MX"/>
              </w:rPr>
            </w:pPr>
            <w:r w:rsidRPr="003E479F">
              <w:rPr>
                <w:bCs/>
                <w:sz w:val="16"/>
                <w:szCs w:val="16"/>
              </w:rPr>
              <w:t xml:space="preserve">El </w:t>
            </w:r>
            <w:r w:rsidR="009F41D5" w:rsidRPr="003E479F">
              <w:rPr>
                <w:bCs/>
                <w:sz w:val="16"/>
                <w:szCs w:val="16"/>
              </w:rPr>
              <w:t>I</w:t>
            </w:r>
            <w:r w:rsidR="00487C99" w:rsidRPr="003E479F">
              <w:rPr>
                <w:bCs/>
                <w:sz w:val="16"/>
                <w:szCs w:val="16"/>
              </w:rPr>
              <w:t>ndicador Trimestral de la Actividad Económica Estatal (</w:t>
            </w:r>
            <w:proofErr w:type="spellStart"/>
            <w:r w:rsidRPr="003E479F">
              <w:rPr>
                <w:smallCaps/>
                <w:sz w:val="16"/>
                <w:szCs w:val="16"/>
              </w:rPr>
              <w:t>itaee</w:t>
            </w:r>
            <w:proofErr w:type="spellEnd"/>
            <w:r w:rsidR="00487C99" w:rsidRPr="003E479F">
              <w:rPr>
                <w:smallCaps/>
                <w:sz w:val="16"/>
                <w:szCs w:val="16"/>
              </w:rPr>
              <w:t>)</w:t>
            </w:r>
            <w:r w:rsidRPr="003E479F">
              <w:rPr>
                <w:smallCaps/>
                <w:sz w:val="16"/>
                <w:szCs w:val="16"/>
              </w:rPr>
              <w:t xml:space="preserve"> </w:t>
            </w:r>
            <w:r w:rsidRPr="003E479F">
              <w:rPr>
                <w:sz w:val="16"/>
                <w:szCs w:val="16"/>
              </w:rPr>
              <w:t xml:space="preserve">ofrece un panorama sobre la evolución económica de las entidades federativas del país. </w:t>
            </w:r>
          </w:p>
          <w:p w14:paraId="1A34E975" w14:textId="0DC64188" w:rsidR="00147068" w:rsidRPr="003E479F" w:rsidRDefault="000A614E" w:rsidP="007E12BF">
            <w:pPr>
              <w:pStyle w:val="Prrafodelista"/>
              <w:widowControl w:val="0"/>
              <w:autoSpaceDE w:val="0"/>
              <w:autoSpaceDN w:val="0"/>
              <w:adjustRightInd w:val="0"/>
              <w:ind w:left="142" w:right="142"/>
              <w:rPr>
                <w:sz w:val="16"/>
                <w:szCs w:val="16"/>
                <w:lang w:val="es-MX"/>
              </w:rPr>
            </w:pPr>
            <w:r w:rsidRPr="003E479F">
              <w:rPr>
                <w:sz w:val="16"/>
                <w:szCs w:val="16"/>
                <w:lang w:val="es-MX"/>
              </w:rPr>
              <w:t>S</w:t>
            </w:r>
            <w:r w:rsidR="00147068" w:rsidRPr="003E479F">
              <w:rPr>
                <w:sz w:val="16"/>
                <w:szCs w:val="16"/>
                <w:lang w:val="es-MX"/>
              </w:rPr>
              <w:t xml:space="preserve">u </w:t>
            </w:r>
            <w:r w:rsidR="00567E8F" w:rsidRPr="003E479F">
              <w:rPr>
                <w:sz w:val="16"/>
                <w:szCs w:val="16"/>
                <w:lang w:val="es-MX"/>
              </w:rPr>
              <w:t>difus</w:t>
            </w:r>
            <w:r w:rsidR="00147068" w:rsidRPr="003E479F">
              <w:rPr>
                <w:sz w:val="16"/>
                <w:szCs w:val="16"/>
                <w:lang w:val="es-MX"/>
              </w:rPr>
              <w:t xml:space="preserve">ión periódica </w:t>
            </w:r>
            <w:r w:rsidRPr="003E479F">
              <w:rPr>
                <w:sz w:val="16"/>
                <w:szCs w:val="16"/>
                <w:lang w:val="es-MX"/>
              </w:rPr>
              <w:t xml:space="preserve">inició </w:t>
            </w:r>
            <w:r w:rsidR="00147068" w:rsidRPr="003E479F">
              <w:rPr>
                <w:sz w:val="16"/>
                <w:szCs w:val="16"/>
                <w:lang w:val="es-MX"/>
              </w:rPr>
              <w:t>en 2009</w:t>
            </w:r>
            <w:r w:rsidR="000C725F" w:rsidRPr="003E479F">
              <w:rPr>
                <w:sz w:val="16"/>
                <w:szCs w:val="16"/>
                <w:lang w:val="es-MX"/>
              </w:rPr>
              <w:t xml:space="preserve"> con base en </w:t>
            </w:r>
            <w:r w:rsidR="00147068" w:rsidRPr="003E479F">
              <w:rPr>
                <w:sz w:val="16"/>
                <w:szCs w:val="16"/>
                <w:lang w:val="es-MX"/>
              </w:rPr>
              <w:t>los criterios metodológicos del año base 2003</w:t>
            </w:r>
            <w:r w:rsidR="007E12BF" w:rsidRPr="003E479F">
              <w:rPr>
                <w:sz w:val="16"/>
                <w:szCs w:val="16"/>
                <w:lang w:val="es-MX"/>
              </w:rPr>
              <w:t>,</w:t>
            </w:r>
            <w:r w:rsidR="00147068" w:rsidRPr="003E479F">
              <w:rPr>
                <w:sz w:val="16"/>
                <w:szCs w:val="16"/>
                <w:lang w:val="es-MX"/>
              </w:rPr>
              <w:t xml:space="preserve"> del Sistema de Cuentas Nacionales de México</w:t>
            </w:r>
            <w:r w:rsidRPr="003E479F">
              <w:rPr>
                <w:sz w:val="16"/>
                <w:szCs w:val="16"/>
                <w:lang w:val="es-MX"/>
              </w:rPr>
              <w:t xml:space="preserve"> </w:t>
            </w:r>
            <w:r w:rsidRPr="003E479F">
              <w:rPr>
                <w:smallCaps/>
                <w:sz w:val="16"/>
                <w:szCs w:val="16"/>
                <w:lang w:val="es-MX"/>
              </w:rPr>
              <w:t>(</w:t>
            </w:r>
            <w:proofErr w:type="spellStart"/>
            <w:r w:rsidRPr="003E479F">
              <w:rPr>
                <w:smallCaps/>
                <w:sz w:val="16"/>
                <w:szCs w:val="16"/>
                <w:lang w:val="es-MX"/>
              </w:rPr>
              <w:t>scnm</w:t>
            </w:r>
            <w:proofErr w:type="spellEnd"/>
            <w:r w:rsidRPr="003E479F">
              <w:rPr>
                <w:smallCaps/>
                <w:sz w:val="16"/>
                <w:szCs w:val="16"/>
                <w:lang w:val="es-MX"/>
              </w:rPr>
              <w:t>)</w:t>
            </w:r>
            <w:r w:rsidR="0087416F" w:rsidRPr="003E479F">
              <w:rPr>
                <w:smallCaps/>
                <w:sz w:val="16"/>
                <w:szCs w:val="16"/>
                <w:lang w:val="es-MX"/>
              </w:rPr>
              <w:t>.</w:t>
            </w:r>
            <w:r w:rsidR="00147068" w:rsidRPr="003E479F">
              <w:rPr>
                <w:sz w:val="16"/>
                <w:szCs w:val="16"/>
                <w:lang w:val="es-MX"/>
              </w:rPr>
              <w:t xml:space="preserve"> </w:t>
            </w:r>
            <w:r w:rsidR="0087416F" w:rsidRPr="003E479F">
              <w:rPr>
                <w:sz w:val="16"/>
                <w:szCs w:val="16"/>
                <w:lang w:val="es-MX"/>
              </w:rPr>
              <w:t>Además,</w:t>
            </w:r>
            <w:r w:rsidR="00147068" w:rsidRPr="003E479F">
              <w:rPr>
                <w:sz w:val="16"/>
                <w:szCs w:val="16"/>
                <w:lang w:val="es-MX"/>
              </w:rPr>
              <w:t xml:space="preserve"> incorpora el Sistema de Clasificación Industrial de América del Norte (</w:t>
            </w:r>
            <w:proofErr w:type="spellStart"/>
            <w:r w:rsidR="0058165B" w:rsidRPr="003E479F">
              <w:rPr>
                <w:smallCaps/>
                <w:sz w:val="16"/>
                <w:szCs w:val="16"/>
                <w:lang w:val="es-MX"/>
              </w:rPr>
              <w:t>scian</w:t>
            </w:r>
            <w:proofErr w:type="spellEnd"/>
            <w:r w:rsidR="00147068" w:rsidRPr="003E479F">
              <w:rPr>
                <w:sz w:val="16"/>
                <w:szCs w:val="16"/>
                <w:lang w:val="es-MX"/>
              </w:rPr>
              <w:t>) 2002.</w:t>
            </w:r>
          </w:p>
          <w:p w14:paraId="093DAE8A" w14:textId="730D8061" w:rsidR="00B730F2" w:rsidRPr="003E479F" w:rsidRDefault="00147068" w:rsidP="007E12BF">
            <w:pPr>
              <w:pStyle w:val="Prrafodelista"/>
              <w:widowControl w:val="0"/>
              <w:autoSpaceDE w:val="0"/>
              <w:autoSpaceDN w:val="0"/>
              <w:adjustRightInd w:val="0"/>
              <w:ind w:left="142" w:right="142"/>
              <w:rPr>
                <w:sz w:val="16"/>
                <w:szCs w:val="16"/>
                <w:lang w:val="es-MX"/>
              </w:rPr>
            </w:pPr>
            <w:r w:rsidRPr="003E479F">
              <w:rPr>
                <w:sz w:val="16"/>
                <w:szCs w:val="16"/>
                <w:lang w:val="es-MX"/>
              </w:rPr>
              <w:t xml:space="preserve">Actualmente, con el </w:t>
            </w:r>
            <w:r w:rsidR="00927F6D" w:rsidRPr="003E479F">
              <w:rPr>
                <w:sz w:val="16"/>
                <w:szCs w:val="16"/>
                <w:lang w:val="es-MX"/>
              </w:rPr>
              <w:t>c</w:t>
            </w:r>
            <w:r w:rsidRPr="003E479F">
              <w:rPr>
                <w:sz w:val="16"/>
                <w:szCs w:val="16"/>
                <w:lang w:val="es-MX"/>
              </w:rPr>
              <w:t xml:space="preserve">ambio de </w:t>
            </w:r>
            <w:r w:rsidR="00567E8F" w:rsidRPr="003E479F">
              <w:rPr>
                <w:sz w:val="16"/>
                <w:szCs w:val="16"/>
                <w:lang w:val="es-MX"/>
              </w:rPr>
              <w:t>a</w:t>
            </w:r>
            <w:r w:rsidRPr="003E479F">
              <w:rPr>
                <w:sz w:val="16"/>
                <w:szCs w:val="16"/>
                <w:lang w:val="es-MX"/>
              </w:rPr>
              <w:t xml:space="preserve">ño </w:t>
            </w:r>
            <w:r w:rsidR="00567E8F" w:rsidRPr="003E479F">
              <w:rPr>
                <w:sz w:val="16"/>
                <w:szCs w:val="16"/>
                <w:lang w:val="es-MX"/>
              </w:rPr>
              <w:t>b</w:t>
            </w:r>
            <w:r w:rsidRPr="003E479F">
              <w:rPr>
                <w:sz w:val="16"/>
                <w:szCs w:val="16"/>
                <w:lang w:val="es-MX"/>
              </w:rPr>
              <w:t xml:space="preserve">ase </w:t>
            </w:r>
            <w:r w:rsidR="00567E8F" w:rsidRPr="003E479F">
              <w:rPr>
                <w:sz w:val="16"/>
                <w:szCs w:val="16"/>
                <w:lang w:val="es-MX"/>
              </w:rPr>
              <w:t xml:space="preserve">a </w:t>
            </w:r>
            <w:r w:rsidRPr="003E479F">
              <w:rPr>
                <w:sz w:val="16"/>
                <w:szCs w:val="16"/>
                <w:lang w:val="es-MX"/>
              </w:rPr>
              <w:t>2018, se actualiza</w:t>
            </w:r>
            <w:r w:rsidR="000A614E" w:rsidRPr="003E479F">
              <w:rPr>
                <w:sz w:val="16"/>
                <w:szCs w:val="16"/>
                <w:lang w:val="es-MX"/>
              </w:rPr>
              <w:t>ron</w:t>
            </w:r>
            <w:r w:rsidRPr="003E479F">
              <w:rPr>
                <w:sz w:val="16"/>
                <w:szCs w:val="16"/>
                <w:lang w:val="es-MX"/>
              </w:rPr>
              <w:t xml:space="preserve"> las estructuras económicas productivas regionales</w:t>
            </w:r>
            <w:r w:rsidR="0024136A" w:rsidRPr="003E479F">
              <w:rPr>
                <w:sz w:val="16"/>
                <w:szCs w:val="16"/>
                <w:lang w:val="es-MX"/>
              </w:rPr>
              <w:t xml:space="preserve">. </w:t>
            </w:r>
            <w:r w:rsidR="004A2756" w:rsidRPr="003E479F">
              <w:rPr>
                <w:sz w:val="16"/>
                <w:szCs w:val="16"/>
                <w:lang w:val="es-MX"/>
              </w:rPr>
              <w:t xml:space="preserve">El </w:t>
            </w:r>
            <w:proofErr w:type="spellStart"/>
            <w:r w:rsidR="000A614E" w:rsidRPr="003E479F">
              <w:rPr>
                <w:smallCaps/>
                <w:sz w:val="16"/>
                <w:szCs w:val="16"/>
                <w:lang w:val="es-MX"/>
              </w:rPr>
              <w:t>scian</w:t>
            </w:r>
            <w:proofErr w:type="spellEnd"/>
            <w:r w:rsidR="000A614E" w:rsidRPr="003E479F">
              <w:rPr>
                <w:sz w:val="16"/>
                <w:szCs w:val="16"/>
                <w:lang w:val="es-MX"/>
              </w:rPr>
              <w:t xml:space="preserve"> </w:t>
            </w:r>
            <w:r w:rsidRPr="003E479F">
              <w:rPr>
                <w:sz w:val="16"/>
                <w:szCs w:val="16"/>
                <w:lang w:val="es-MX"/>
              </w:rPr>
              <w:t>2018</w:t>
            </w:r>
            <w:r w:rsidR="004A2756" w:rsidRPr="003E479F">
              <w:rPr>
                <w:sz w:val="16"/>
                <w:szCs w:val="16"/>
                <w:lang w:val="es-MX"/>
              </w:rPr>
              <w:t xml:space="preserve"> </w:t>
            </w:r>
            <w:r w:rsidR="002F046D" w:rsidRPr="003E479F">
              <w:rPr>
                <w:sz w:val="16"/>
                <w:szCs w:val="16"/>
                <w:lang w:val="es-MX"/>
              </w:rPr>
              <w:t>es el</w:t>
            </w:r>
            <w:r w:rsidR="00046BB5" w:rsidRPr="003E479F">
              <w:rPr>
                <w:sz w:val="16"/>
                <w:szCs w:val="16"/>
                <w:lang w:val="es-MX"/>
              </w:rPr>
              <w:t xml:space="preserve"> </w:t>
            </w:r>
            <w:r w:rsidRPr="003E479F">
              <w:rPr>
                <w:sz w:val="16"/>
                <w:szCs w:val="16"/>
                <w:lang w:val="es-MX"/>
              </w:rPr>
              <w:t>c</w:t>
            </w:r>
            <w:r w:rsidR="00567E8F" w:rsidRPr="003E479F">
              <w:rPr>
                <w:sz w:val="16"/>
                <w:szCs w:val="16"/>
                <w:lang w:val="es-MX"/>
              </w:rPr>
              <w:t>lasi</w:t>
            </w:r>
            <w:r w:rsidRPr="003E479F">
              <w:rPr>
                <w:sz w:val="16"/>
                <w:szCs w:val="16"/>
                <w:lang w:val="es-MX"/>
              </w:rPr>
              <w:t xml:space="preserve">ficador de las actividades </w:t>
            </w:r>
            <w:r w:rsidR="00567E8F" w:rsidRPr="003E479F">
              <w:rPr>
                <w:sz w:val="16"/>
                <w:szCs w:val="16"/>
                <w:lang w:val="es-MX"/>
              </w:rPr>
              <w:t>económicas</w:t>
            </w:r>
            <w:r w:rsidRPr="003E479F">
              <w:rPr>
                <w:sz w:val="16"/>
                <w:szCs w:val="16"/>
                <w:lang w:val="es-MX"/>
              </w:rPr>
              <w:t>.</w:t>
            </w:r>
          </w:p>
        </w:tc>
      </w:tr>
      <w:tr w:rsidR="00B730F2" w:rsidRPr="003E479F" w14:paraId="457608BE" w14:textId="77777777" w:rsidTr="007F164E">
        <w:trPr>
          <w:jc w:val="center"/>
        </w:trPr>
        <w:tc>
          <w:tcPr>
            <w:tcW w:w="2268" w:type="dxa"/>
            <w:vAlign w:val="center"/>
          </w:tcPr>
          <w:p w14:paraId="07F2A8D2" w14:textId="356546E1" w:rsidR="00B730F2" w:rsidRPr="003E479F" w:rsidRDefault="00AD4281" w:rsidP="007F164E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6"/>
                <w:szCs w:val="16"/>
              </w:rPr>
            </w:pPr>
            <w:r w:rsidRPr="003E479F">
              <w:rPr>
                <w:b/>
                <w:bCs/>
                <w:color w:val="auto"/>
                <w:spacing w:val="-1"/>
                <w:sz w:val="16"/>
                <w:szCs w:val="16"/>
              </w:rPr>
              <w:t>Año base</w:t>
            </w:r>
            <w:r w:rsidR="00D15A0B" w:rsidRPr="003E479F">
              <w:rPr>
                <w:b/>
                <w:bCs/>
                <w:color w:val="auto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7689" w:type="dxa"/>
            <w:vAlign w:val="center"/>
          </w:tcPr>
          <w:p w14:paraId="03433C89" w14:textId="32A998B6" w:rsidR="00B730F2" w:rsidRPr="003E479F" w:rsidRDefault="00253572" w:rsidP="007E12BF">
            <w:pPr>
              <w:pStyle w:val="Texto"/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color w:val="000000" w:themeColor="text1"/>
                <w:sz w:val="16"/>
                <w:szCs w:val="16"/>
                <w:lang w:val="es-ES_tradnl"/>
              </w:rPr>
            </w:pPr>
            <w:r w:rsidRPr="003E479F">
              <w:rPr>
                <w:sz w:val="16"/>
                <w:szCs w:val="16"/>
              </w:rPr>
              <w:t xml:space="preserve">Los datos </w:t>
            </w:r>
            <w:r w:rsidR="00567E8F" w:rsidRPr="003E479F">
              <w:rPr>
                <w:sz w:val="16"/>
                <w:szCs w:val="16"/>
              </w:rPr>
              <w:t>detallados están disponibles desde el primer trimestre de 2003</w:t>
            </w:r>
            <w:r w:rsidR="007E12BF" w:rsidRPr="003E479F">
              <w:rPr>
                <w:sz w:val="16"/>
                <w:szCs w:val="16"/>
              </w:rPr>
              <w:t>, así como</w:t>
            </w:r>
            <w:r w:rsidR="00567E8F" w:rsidRPr="003E479F">
              <w:rPr>
                <w:sz w:val="16"/>
                <w:szCs w:val="16"/>
              </w:rPr>
              <w:t xml:space="preserve"> una serie </w:t>
            </w:r>
            <w:proofErr w:type="spellStart"/>
            <w:r w:rsidR="00567E8F" w:rsidRPr="003E479F">
              <w:rPr>
                <w:sz w:val="16"/>
                <w:szCs w:val="16"/>
              </w:rPr>
              <w:t>retropolada</w:t>
            </w:r>
            <w:proofErr w:type="spellEnd"/>
            <w:r w:rsidR="00567E8F" w:rsidRPr="003E479F">
              <w:rPr>
                <w:sz w:val="16"/>
                <w:szCs w:val="16"/>
              </w:rPr>
              <w:t xml:space="preserve"> reducida de 1980 a 2002</w:t>
            </w:r>
            <w:r w:rsidR="003257D5" w:rsidRPr="003E479F">
              <w:rPr>
                <w:sz w:val="16"/>
                <w:szCs w:val="16"/>
              </w:rPr>
              <w:t xml:space="preserve">. Lo anterior se expresa </w:t>
            </w:r>
            <w:r w:rsidRPr="003E479F">
              <w:rPr>
                <w:sz w:val="16"/>
                <w:szCs w:val="16"/>
              </w:rPr>
              <w:t>en índices de volumen físico con base fija en el año 2018.</w:t>
            </w:r>
          </w:p>
        </w:tc>
      </w:tr>
      <w:tr w:rsidR="00B730F2" w:rsidRPr="003E479F" w14:paraId="627936C4" w14:textId="77777777" w:rsidTr="007451F0">
        <w:trPr>
          <w:jc w:val="center"/>
        </w:trPr>
        <w:tc>
          <w:tcPr>
            <w:tcW w:w="2268" w:type="dxa"/>
            <w:vAlign w:val="center"/>
          </w:tcPr>
          <w:p w14:paraId="04FC61F3" w14:textId="1CCFC3D6" w:rsidR="00B730F2" w:rsidRPr="003E479F" w:rsidRDefault="00E408EA" w:rsidP="007451F0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6"/>
                <w:szCs w:val="16"/>
              </w:rPr>
            </w:pPr>
            <w:r w:rsidRPr="003E479F">
              <w:rPr>
                <w:b/>
                <w:bCs/>
                <w:color w:val="auto"/>
                <w:spacing w:val="-1"/>
                <w:sz w:val="16"/>
                <w:szCs w:val="16"/>
              </w:rPr>
              <w:t>Fuentes</w:t>
            </w:r>
          </w:p>
        </w:tc>
        <w:tc>
          <w:tcPr>
            <w:tcW w:w="7689" w:type="dxa"/>
            <w:vAlign w:val="center"/>
          </w:tcPr>
          <w:p w14:paraId="614656B5" w14:textId="59462F27" w:rsidR="00B730F2" w:rsidRPr="003E479F" w:rsidRDefault="007517B6" w:rsidP="007E12BF">
            <w:pPr>
              <w:pStyle w:val="Texto"/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16"/>
                <w:szCs w:val="16"/>
              </w:rPr>
            </w:pPr>
            <w:r w:rsidRPr="003E479F">
              <w:rPr>
                <w:sz w:val="16"/>
                <w:szCs w:val="16"/>
              </w:rPr>
              <w:t>Las principales fuentes de información son las encuestas mensuales en establecimientos y en hogares</w:t>
            </w:r>
            <w:r w:rsidR="000A614E" w:rsidRPr="003E479F">
              <w:rPr>
                <w:sz w:val="16"/>
                <w:szCs w:val="16"/>
              </w:rPr>
              <w:t xml:space="preserve"> </w:t>
            </w:r>
            <w:r w:rsidR="000A614E" w:rsidRPr="003E479F">
              <w:rPr>
                <w:sz w:val="16"/>
                <w:szCs w:val="16"/>
              </w:rPr>
              <w:br/>
              <w:t>—</w:t>
            </w:r>
            <w:r w:rsidRPr="003E479F">
              <w:rPr>
                <w:sz w:val="16"/>
                <w:szCs w:val="16"/>
              </w:rPr>
              <w:t>Encuesta Mensual de la Industria Manufacturera (</w:t>
            </w:r>
            <w:proofErr w:type="spellStart"/>
            <w:r w:rsidRPr="003E479F">
              <w:rPr>
                <w:smallCaps/>
                <w:sz w:val="16"/>
                <w:szCs w:val="16"/>
              </w:rPr>
              <w:t>emim</w:t>
            </w:r>
            <w:proofErr w:type="spellEnd"/>
            <w:r w:rsidRPr="003E479F">
              <w:rPr>
                <w:sz w:val="16"/>
                <w:szCs w:val="16"/>
              </w:rPr>
              <w:t>), Encuesta Nacional de Empresas Constructoras (</w:t>
            </w:r>
            <w:proofErr w:type="spellStart"/>
            <w:r w:rsidR="0058165B" w:rsidRPr="003E479F">
              <w:rPr>
                <w:smallCaps/>
                <w:sz w:val="16"/>
                <w:szCs w:val="16"/>
              </w:rPr>
              <w:t>enec</w:t>
            </w:r>
            <w:proofErr w:type="spellEnd"/>
            <w:r w:rsidRPr="003E479F">
              <w:rPr>
                <w:sz w:val="16"/>
                <w:szCs w:val="16"/>
              </w:rPr>
              <w:t>)</w:t>
            </w:r>
            <w:r w:rsidR="000A614E" w:rsidRPr="003E479F">
              <w:rPr>
                <w:sz w:val="16"/>
                <w:szCs w:val="16"/>
              </w:rPr>
              <w:t>,</w:t>
            </w:r>
            <w:r w:rsidRPr="003E479F">
              <w:rPr>
                <w:sz w:val="16"/>
                <w:szCs w:val="16"/>
              </w:rPr>
              <w:t xml:space="preserve"> Encuesta Mensual sobre Empresas Comerciales (</w:t>
            </w:r>
            <w:proofErr w:type="spellStart"/>
            <w:r w:rsidRPr="003E479F">
              <w:rPr>
                <w:smallCaps/>
                <w:sz w:val="16"/>
                <w:szCs w:val="16"/>
              </w:rPr>
              <w:t>emec</w:t>
            </w:r>
            <w:proofErr w:type="spellEnd"/>
            <w:r w:rsidRPr="003E479F">
              <w:rPr>
                <w:sz w:val="16"/>
                <w:szCs w:val="16"/>
              </w:rPr>
              <w:t>), Encuesta Mensual de Servicios (</w:t>
            </w:r>
            <w:proofErr w:type="spellStart"/>
            <w:r w:rsidRPr="003E479F">
              <w:rPr>
                <w:smallCaps/>
                <w:sz w:val="16"/>
                <w:szCs w:val="16"/>
              </w:rPr>
              <w:t>ems</w:t>
            </w:r>
            <w:proofErr w:type="spellEnd"/>
            <w:r w:rsidRPr="003E479F">
              <w:rPr>
                <w:sz w:val="16"/>
                <w:szCs w:val="16"/>
              </w:rPr>
              <w:t>) y Encuesta Nacional de Ocupación y Empleo (</w:t>
            </w:r>
            <w:proofErr w:type="spellStart"/>
            <w:r w:rsidRPr="003E479F">
              <w:rPr>
                <w:smallCaps/>
                <w:sz w:val="16"/>
                <w:szCs w:val="16"/>
              </w:rPr>
              <w:t>enoe</w:t>
            </w:r>
            <w:proofErr w:type="spellEnd"/>
            <w:r w:rsidRPr="003E479F">
              <w:rPr>
                <w:sz w:val="16"/>
                <w:szCs w:val="16"/>
              </w:rPr>
              <w:t>)</w:t>
            </w:r>
            <w:r w:rsidR="000A614E" w:rsidRPr="003E479F">
              <w:rPr>
                <w:sz w:val="16"/>
                <w:szCs w:val="16"/>
              </w:rPr>
              <w:t xml:space="preserve">—, </w:t>
            </w:r>
            <w:r w:rsidRPr="003E479F">
              <w:rPr>
                <w:sz w:val="16"/>
                <w:szCs w:val="16"/>
              </w:rPr>
              <w:t>los índices nacionales de precios, los registros administrativos y los datos primarios,</w:t>
            </w:r>
            <w:r w:rsidRPr="003E479F">
              <w:rPr>
                <w:sz w:val="16"/>
                <w:szCs w:val="16"/>
                <w:lang w:val="es-MX"/>
              </w:rPr>
              <w:t xml:space="preserve"> así como las estadísticas económicas y sociales compiladas por el Instituto. </w:t>
            </w:r>
            <w:r w:rsidRPr="003E479F">
              <w:rPr>
                <w:sz w:val="16"/>
                <w:szCs w:val="16"/>
              </w:rPr>
              <w:t>Para las actividades agropecuarias, de energía, gas, agua, servicios financieros y del gobierno, se incluyen los registros administrativos</w:t>
            </w:r>
            <w:r w:rsidR="00E44DEB" w:rsidRPr="003E479F">
              <w:rPr>
                <w:sz w:val="16"/>
                <w:szCs w:val="16"/>
              </w:rPr>
              <w:t xml:space="preserve"> que pro</w:t>
            </w:r>
            <w:r w:rsidR="00321958" w:rsidRPr="003E479F">
              <w:rPr>
                <w:sz w:val="16"/>
                <w:szCs w:val="16"/>
              </w:rPr>
              <w:t xml:space="preserve">vienen </w:t>
            </w:r>
            <w:r w:rsidRPr="003E479F">
              <w:rPr>
                <w:sz w:val="16"/>
                <w:szCs w:val="16"/>
              </w:rPr>
              <w:t>de las empresas y Unidades del Estado.</w:t>
            </w:r>
          </w:p>
        </w:tc>
      </w:tr>
      <w:tr w:rsidR="00B730F2" w:rsidRPr="003E479F" w14:paraId="43FA9F57" w14:textId="77777777" w:rsidTr="007451F0">
        <w:trPr>
          <w:jc w:val="center"/>
        </w:trPr>
        <w:tc>
          <w:tcPr>
            <w:tcW w:w="2268" w:type="dxa"/>
            <w:vAlign w:val="center"/>
          </w:tcPr>
          <w:p w14:paraId="5F36F550" w14:textId="7AC20DFA" w:rsidR="00B730F2" w:rsidRPr="003E479F" w:rsidRDefault="00694F6F" w:rsidP="007451F0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6"/>
                <w:szCs w:val="16"/>
              </w:rPr>
            </w:pPr>
            <w:r w:rsidRPr="003E479F">
              <w:rPr>
                <w:b/>
                <w:bCs/>
                <w:color w:val="auto"/>
                <w:spacing w:val="-1"/>
                <w:sz w:val="16"/>
                <w:szCs w:val="16"/>
              </w:rPr>
              <w:t>Cobertura geográfica</w:t>
            </w:r>
          </w:p>
        </w:tc>
        <w:tc>
          <w:tcPr>
            <w:tcW w:w="7689" w:type="dxa"/>
            <w:vAlign w:val="center"/>
          </w:tcPr>
          <w:p w14:paraId="5A6DDE6B" w14:textId="41F84366" w:rsidR="00B730F2" w:rsidRPr="003E479F" w:rsidRDefault="00694F6F" w:rsidP="007E12BF">
            <w:pPr>
              <w:pStyle w:val="Texto"/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16"/>
                <w:szCs w:val="16"/>
              </w:rPr>
            </w:pPr>
            <w:r w:rsidRPr="003E479F">
              <w:rPr>
                <w:sz w:val="16"/>
                <w:szCs w:val="16"/>
              </w:rPr>
              <w:t>Nacional</w:t>
            </w:r>
            <w:r w:rsidR="000B5587" w:rsidRPr="003E479F">
              <w:rPr>
                <w:sz w:val="16"/>
                <w:szCs w:val="16"/>
              </w:rPr>
              <w:t xml:space="preserve"> </w:t>
            </w:r>
            <w:r w:rsidR="003B772D" w:rsidRPr="003E479F">
              <w:rPr>
                <w:sz w:val="16"/>
                <w:szCs w:val="16"/>
              </w:rPr>
              <w:t xml:space="preserve">y </w:t>
            </w:r>
            <w:r w:rsidR="000B5587" w:rsidRPr="003E479F">
              <w:rPr>
                <w:sz w:val="16"/>
                <w:szCs w:val="16"/>
              </w:rPr>
              <w:t>por entidad federativa</w:t>
            </w:r>
            <w:r w:rsidR="00321958" w:rsidRPr="003E479F">
              <w:rPr>
                <w:sz w:val="16"/>
                <w:szCs w:val="16"/>
              </w:rPr>
              <w:t>.</w:t>
            </w:r>
          </w:p>
        </w:tc>
      </w:tr>
      <w:tr w:rsidR="00B730F2" w:rsidRPr="003E479F" w14:paraId="7EE8B463" w14:textId="77777777" w:rsidTr="007451F0">
        <w:trPr>
          <w:jc w:val="center"/>
        </w:trPr>
        <w:tc>
          <w:tcPr>
            <w:tcW w:w="2268" w:type="dxa"/>
            <w:vAlign w:val="center"/>
          </w:tcPr>
          <w:p w14:paraId="00BF98BD" w14:textId="33DF29D6" w:rsidR="00B730F2" w:rsidRPr="003E479F" w:rsidRDefault="00694F6F" w:rsidP="007451F0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6"/>
                <w:szCs w:val="16"/>
              </w:rPr>
            </w:pPr>
            <w:r w:rsidRPr="003E479F">
              <w:rPr>
                <w:b/>
                <w:bCs/>
                <w:color w:val="auto"/>
                <w:spacing w:val="-1"/>
                <w:sz w:val="16"/>
                <w:szCs w:val="16"/>
              </w:rPr>
              <w:t>Periodicidad</w:t>
            </w:r>
          </w:p>
        </w:tc>
        <w:tc>
          <w:tcPr>
            <w:tcW w:w="7689" w:type="dxa"/>
            <w:vAlign w:val="center"/>
          </w:tcPr>
          <w:p w14:paraId="51532CC0" w14:textId="6C3E7240" w:rsidR="00B730F2" w:rsidRPr="003E479F" w:rsidRDefault="00996F51" w:rsidP="007E12BF">
            <w:pPr>
              <w:pStyle w:val="Texto"/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16"/>
                <w:szCs w:val="16"/>
                <w:lang w:val="es-ES_tradnl"/>
              </w:rPr>
            </w:pPr>
            <w:r w:rsidRPr="003E479F">
              <w:rPr>
                <w:sz w:val="16"/>
                <w:szCs w:val="16"/>
              </w:rPr>
              <w:t>Trimestral</w:t>
            </w:r>
            <w:r w:rsidR="00321958" w:rsidRPr="003E479F">
              <w:rPr>
                <w:sz w:val="16"/>
                <w:szCs w:val="16"/>
              </w:rPr>
              <w:t>.</w:t>
            </w:r>
          </w:p>
        </w:tc>
      </w:tr>
      <w:tr w:rsidR="00B730F2" w:rsidRPr="003E479F" w14:paraId="0781F9AE" w14:textId="77777777" w:rsidTr="007451F0">
        <w:trPr>
          <w:jc w:val="center"/>
        </w:trPr>
        <w:tc>
          <w:tcPr>
            <w:tcW w:w="2268" w:type="dxa"/>
            <w:vAlign w:val="center"/>
          </w:tcPr>
          <w:p w14:paraId="405D422F" w14:textId="6AA33F3B" w:rsidR="00B730F2" w:rsidRPr="003E479F" w:rsidRDefault="002A4206" w:rsidP="007451F0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6"/>
                <w:szCs w:val="16"/>
              </w:rPr>
            </w:pPr>
            <w:r w:rsidRPr="003E479F">
              <w:rPr>
                <w:b/>
                <w:bCs/>
                <w:color w:val="auto"/>
                <w:spacing w:val="-1"/>
                <w:sz w:val="16"/>
                <w:szCs w:val="16"/>
              </w:rPr>
              <w:t xml:space="preserve">Cálculo del </w:t>
            </w:r>
            <w:proofErr w:type="spellStart"/>
            <w:r w:rsidR="00897D85" w:rsidRPr="003E479F">
              <w:rPr>
                <w:rFonts w:ascii="Arial Negrita" w:hAnsi="Arial Negrita"/>
                <w:b/>
                <w:bCs/>
                <w:smallCaps/>
                <w:color w:val="auto"/>
                <w:spacing w:val="-1"/>
                <w:sz w:val="16"/>
                <w:szCs w:val="16"/>
              </w:rPr>
              <w:t>itaee</w:t>
            </w:r>
            <w:proofErr w:type="spellEnd"/>
          </w:p>
        </w:tc>
        <w:tc>
          <w:tcPr>
            <w:tcW w:w="7689" w:type="dxa"/>
            <w:vAlign w:val="center"/>
          </w:tcPr>
          <w:p w14:paraId="03771FD0" w14:textId="73B976DC" w:rsidR="007326C6" w:rsidRPr="003E479F" w:rsidRDefault="007517B6" w:rsidP="007E12BF">
            <w:pPr>
              <w:ind w:left="142" w:right="142"/>
              <w:rPr>
                <w:sz w:val="16"/>
                <w:szCs w:val="16"/>
              </w:rPr>
            </w:pPr>
            <w:r w:rsidRPr="003E479F">
              <w:rPr>
                <w:sz w:val="16"/>
                <w:szCs w:val="16"/>
              </w:rPr>
              <w:t>Para el cálculo</w:t>
            </w:r>
            <w:r w:rsidR="007E12BF" w:rsidRPr="003E479F">
              <w:rPr>
                <w:sz w:val="16"/>
                <w:szCs w:val="16"/>
              </w:rPr>
              <w:t xml:space="preserve"> del</w:t>
            </w:r>
            <w:r w:rsidRPr="003E479F">
              <w:rPr>
                <w:sz w:val="16"/>
                <w:szCs w:val="16"/>
              </w:rPr>
              <w:t xml:space="preserve"> </w:t>
            </w:r>
            <w:proofErr w:type="spellStart"/>
            <w:r w:rsidRPr="003E479F">
              <w:rPr>
                <w:smallCaps/>
                <w:sz w:val="16"/>
                <w:szCs w:val="16"/>
              </w:rPr>
              <w:t>itaee</w:t>
            </w:r>
            <w:proofErr w:type="spellEnd"/>
            <w:r w:rsidRPr="003E479F">
              <w:rPr>
                <w:sz w:val="16"/>
                <w:szCs w:val="16"/>
              </w:rPr>
              <w:t xml:space="preserve"> se siguen los conceptos, criterios metodológicos, clasificadores y datos fuente que se emplean en los cálculos del</w:t>
            </w:r>
            <w:r w:rsidR="00741864" w:rsidRPr="003E479F">
              <w:rPr>
                <w:sz w:val="16"/>
                <w:szCs w:val="16"/>
              </w:rPr>
              <w:t xml:space="preserve"> Producto Interno Bruto (</w:t>
            </w:r>
            <w:r w:rsidR="00741864" w:rsidRPr="003E479F">
              <w:rPr>
                <w:smallCaps/>
                <w:sz w:val="16"/>
                <w:szCs w:val="16"/>
              </w:rPr>
              <w:t>pib</w:t>
            </w:r>
            <w:r w:rsidR="00741864" w:rsidRPr="003E479F">
              <w:rPr>
                <w:sz w:val="16"/>
                <w:szCs w:val="16"/>
              </w:rPr>
              <w:t xml:space="preserve">) </w:t>
            </w:r>
            <w:r w:rsidR="00F26E4F" w:rsidRPr="003E479F">
              <w:rPr>
                <w:sz w:val="16"/>
                <w:szCs w:val="16"/>
              </w:rPr>
              <w:t xml:space="preserve">trimestral </w:t>
            </w:r>
            <w:r w:rsidRPr="003E479F">
              <w:rPr>
                <w:sz w:val="16"/>
                <w:szCs w:val="16"/>
              </w:rPr>
              <w:t>y del Producto Interno Bruto por Entidad Federativa (</w:t>
            </w:r>
            <w:r w:rsidR="00D63C73" w:rsidRPr="003E479F">
              <w:rPr>
                <w:smallCaps/>
                <w:sz w:val="16"/>
                <w:szCs w:val="16"/>
              </w:rPr>
              <w:t>pibe</w:t>
            </w:r>
            <w:r w:rsidRPr="003E479F">
              <w:rPr>
                <w:sz w:val="16"/>
                <w:szCs w:val="16"/>
              </w:rPr>
              <w:t>)</w:t>
            </w:r>
            <w:r w:rsidR="00130036" w:rsidRPr="003E479F">
              <w:rPr>
                <w:sz w:val="16"/>
                <w:szCs w:val="16"/>
              </w:rPr>
              <w:t>,</w:t>
            </w:r>
            <w:r w:rsidRPr="003E479F">
              <w:rPr>
                <w:sz w:val="16"/>
                <w:szCs w:val="16"/>
              </w:rPr>
              <w:t xml:space="preserve"> en la medida en que la información estadística disponible lo permite. Además, se consideran los lineamientos internacionales sobre contabilidad nacional establecidos en el </w:t>
            </w:r>
            <w:r w:rsidR="007326C6" w:rsidRPr="003E479F">
              <w:rPr>
                <w:sz w:val="16"/>
                <w:szCs w:val="16"/>
              </w:rPr>
              <w:t>Sistema de Cuentas Nacionales 2008 (</w:t>
            </w:r>
            <w:proofErr w:type="spellStart"/>
            <w:r w:rsidR="007326C6" w:rsidRPr="003E479F">
              <w:rPr>
                <w:smallCaps/>
                <w:sz w:val="16"/>
                <w:szCs w:val="16"/>
              </w:rPr>
              <w:t>scn</w:t>
            </w:r>
            <w:proofErr w:type="spellEnd"/>
            <w:r w:rsidR="000A614E" w:rsidRPr="003E479F">
              <w:rPr>
                <w:smallCaps/>
                <w:sz w:val="16"/>
                <w:szCs w:val="16"/>
              </w:rPr>
              <w:t xml:space="preserve"> </w:t>
            </w:r>
            <w:r w:rsidR="007326C6" w:rsidRPr="003E479F">
              <w:rPr>
                <w:sz w:val="16"/>
                <w:szCs w:val="16"/>
              </w:rPr>
              <w:t xml:space="preserve">2008), </w:t>
            </w:r>
            <w:r w:rsidRPr="003E479F">
              <w:rPr>
                <w:sz w:val="16"/>
                <w:szCs w:val="16"/>
              </w:rPr>
              <w:t xml:space="preserve">en el </w:t>
            </w:r>
            <w:r w:rsidR="007326C6" w:rsidRPr="003E479F">
              <w:rPr>
                <w:i/>
                <w:iCs/>
                <w:sz w:val="16"/>
                <w:szCs w:val="16"/>
              </w:rPr>
              <w:t>Manual de cuentas nacionales trimestrales</w:t>
            </w:r>
            <w:r w:rsidR="007326C6" w:rsidRPr="003E479F">
              <w:rPr>
                <w:sz w:val="16"/>
                <w:szCs w:val="16"/>
              </w:rPr>
              <w:t xml:space="preserve"> y </w:t>
            </w:r>
            <w:r w:rsidRPr="003E479F">
              <w:rPr>
                <w:sz w:val="16"/>
                <w:szCs w:val="16"/>
              </w:rPr>
              <w:t xml:space="preserve">en </w:t>
            </w:r>
            <w:r w:rsidR="007326C6" w:rsidRPr="003E479F">
              <w:rPr>
                <w:sz w:val="16"/>
                <w:szCs w:val="16"/>
              </w:rPr>
              <w:t xml:space="preserve">el de </w:t>
            </w:r>
            <w:r w:rsidR="007326C6" w:rsidRPr="003E479F">
              <w:rPr>
                <w:i/>
                <w:iCs/>
                <w:sz w:val="16"/>
                <w:szCs w:val="16"/>
              </w:rPr>
              <w:t>Métodos de contabilidad regiona</w:t>
            </w:r>
            <w:r w:rsidR="00A53062" w:rsidRPr="003E479F">
              <w:rPr>
                <w:i/>
                <w:iCs/>
                <w:sz w:val="16"/>
                <w:szCs w:val="16"/>
              </w:rPr>
              <w:t>l</w:t>
            </w:r>
            <w:r w:rsidR="000A614E" w:rsidRPr="003E479F">
              <w:rPr>
                <w:i/>
                <w:iCs/>
                <w:sz w:val="16"/>
                <w:szCs w:val="16"/>
              </w:rPr>
              <w:t>.</w:t>
            </w:r>
          </w:p>
          <w:p w14:paraId="7517D0F6" w14:textId="6F7E152D" w:rsidR="00B730F2" w:rsidRPr="003E479F" w:rsidRDefault="007517B6" w:rsidP="007E12BF">
            <w:pPr>
              <w:ind w:left="142" w:right="142"/>
              <w:rPr>
                <w:sz w:val="16"/>
                <w:szCs w:val="16"/>
              </w:rPr>
            </w:pPr>
            <w:r w:rsidRPr="003E479F">
              <w:rPr>
                <w:sz w:val="16"/>
                <w:szCs w:val="16"/>
              </w:rPr>
              <w:t xml:space="preserve">Los cálculos del </w:t>
            </w:r>
            <w:proofErr w:type="spellStart"/>
            <w:r w:rsidR="000A614E" w:rsidRPr="003E479F">
              <w:rPr>
                <w:smallCaps/>
                <w:sz w:val="16"/>
                <w:szCs w:val="16"/>
              </w:rPr>
              <w:t>itaee</w:t>
            </w:r>
            <w:proofErr w:type="spellEnd"/>
            <w:r w:rsidRPr="003E479F">
              <w:rPr>
                <w:sz w:val="16"/>
                <w:szCs w:val="16"/>
              </w:rPr>
              <w:t xml:space="preserve"> </w:t>
            </w:r>
            <w:r w:rsidR="00D767BF" w:rsidRPr="003E479F">
              <w:rPr>
                <w:sz w:val="16"/>
                <w:szCs w:val="16"/>
              </w:rPr>
              <w:t>se efectúan</w:t>
            </w:r>
            <w:r w:rsidRPr="003E479F">
              <w:rPr>
                <w:sz w:val="16"/>
                <w:szCs w:val="16"/>
              </w:rPr>
              <w:t xml:space="preserve"> por clase de actividad económica del </w:t>
            </w:r>
            <w:proofErr w:type="spellStart"/>
            <w:r w:rsidR="000A614E" w:rsidRPr="003E479F">
              <w:rPr>
                <w:smallCaps/>
                <w:sz w:val="16"/>
                <w:szCs w:val="16"/>
              </w:rPr>
              <w:t>scian</w:t>
            </w:r>
            <w:proofErr w:type="spellEnd"/>
            <w:r w:rsidRPr="003E479F">
              <w:rPr>
                <w:sz w:val="16"/>
                <w:szCs w:val="16"/>
              </w:rPr>
              <w:t xml:space="preserve"> 2018</w:t>
            </w:r>
            <w:r w:rsidR="00D767BF" w:rsidRPr="003E479F">
              <w:rPr>
                <w:sz w:val="16"/>
                <w:szCs w:val="16"/>
              </w:rPr>
              <w:t>, a</w:t>
            </w:r>
            <w:r w:rsidRPr="003E479F">
              <w:rPr>
                <w:sz w:val="16"/>
                <w:szCs w:val="16"/>
              </w:rPr>
              <w:t xml:space="preserve">l interior de las clases se realizan mediciones específicas para la actividad formal, informal, artesanado formal e informal y bienes para procesamiento. Se </w:t>
            </w:r>
            <w:r w:rsidR="00D767BF" w:rsidRPr="003E479F">
              <w:rPr>
                <w:sz w:val="16"/>
                <w:szCs w:val="16"/>
              </w:rPr>
              <w:t xml:space="preserve">inicia en la </w:t>
            </w:r>
            <w:r w:rsidRPr="003E479F">
              <w:rPr>
                <w:sz w:val="16"/>
                <w:szCs w:val="16"/>
              </w:rPr>
              <w:t>elabora</w:t>
            </w:r>
            <w:r w:rsidR="00D767BF" w:rsidRPr="003E479F">
              <w:rPr>
                <w:sz w:val="16"/>
                <w:szCs w:val="16"/>
              </w:rPr>
              <w:t>ción de</w:t>
            </w:r>
            <w:r w:rsidRPr="003E479F">
              <w:rPr>
                <w:sz w:val="16"/>
                <w:szCs w:val="16"/>
              </w:rPr>
              <w:t xml:space="preserve"> índices del volumen </w:t>
            </w:r>
            <w:r w:rsidR="00D767BF" w:rsidRPr="003E479F">
              <w:rPr>
                <w:sz w:val="16"/>
                <w:szCs w:val="16"/>
              </w:rPr>
              <w:t xml:space="preserve">físico </w:t>
            </w:r>
            <w:r w:rsidRPr="003E479F">
              <w:rPr>
                <w:sz w:val="16"/>
                <w:szCs w:val="16"/>
              </w:rPr>
              <w:t xml:space="preserve">de </w:t>
            </w:r>
            <w:r w:rsidR="00D767BF" w:rsidRPr="003E479F">
              <w:rPr>
                <w:sz w:val="16"/>
                <w:szCs w:val="16"/>
              </w:rPr>
              <w:t xml:space="preserve">la </w:t>
            </w:r>
            <w:r w:rsidRPr="003E479F">
              <w:rPr>
                <w:sz w:val="16"/>
                <w:szCs w:val="16"/>
              </w:rPr>
              <w:t>producción por clase de actividad económica</w:t>
            </w:r>
            <w:r w:rsidR="007D4E29" w:rsidRPr="003E479F">
              <w:rPr>
                <w:sz w:val="16"/>
                <w:szCs w:val="16"/>
              </w:rPr>
              <w:t>. L</w:t>
            </w:r>
            <w:r w:rsidRPr="003E479F">
              <w:rPr>
                <w:sz w:val="16"/>
                <w:szCs w:val="16"/>
              </w:rPr>
              <w:t xml:space="preserve">os índices se </w:t>
            </w:r>
            <w:r w:rsidR="00D767BF" w:rsidRPr="003E479F">
              <w:rPr>
                <w:sz w:val="16"/>
                <w:szCs w:val="16"/>
              </w:rPr>
              <w:t>emplean</w:t>
            </w:r>
            <w:r w:rsidRPr="003E479F">
              <w:rPr>
                <w:sz w:val="16"/>
                <w:szCs w:val="16"/>
              </w:rPr>
              <w:t xml:space="preserve"> para extrapolar el valor agregado bruto registrado por cada clase de actividad en el año base 2018</w:t>
            </w:r>
            <w:r w:rsidR="0062041C" w:rsidRPr="003E479F">
              <w:rPr>
                <w:sz w:val="16"/>
                <w:szCs w:val="16"/>
              </w:rPr>
              <w:t>.</w:t>
            </w:r>
            <w:r w:rsidR="00F26E4F" w:rsidRPr="003E479F">
              <w:rPr>
                <w:sz w:val="16"/>
                <w:szCs w:val="16"/>
                <w:lang w:val="es-ES"/>
              </w:rPr>
              <w:t>Además</w:t>
            </w:r>
            <w:r w:rsidRPr="003E479F">
              <w:rPr>
                <w:sz w:val="16"/>
                <w:szCs w:val="16"/>
              </w:rPr>
              <w:t xml:space="preserve">, se </w:t>
            </w:r>
            <w:r w:rsidR="00D767BF" w:rsidRPr="003E479F">
              <w:rPr>
                <w:sz w:val="16"/>
                <w:szCs w:val="16"/>
              </w:rPr>
              <w:t>alinean</w:t>
            </w:r>
            <w:r w:rsidRPr="003E479F">
              <w:rPr>
                <w:sz w:val="16"/>
                <w:szCs w:val="16"/>
              </w:rPr>
              <w:t xml:space="preserve"> </w:t>
            </w:r>
            <w:r w:rsidR="00D767BF" w:rsidRPr="003E479F">
              <w:rPr>
                <w:sz w:val="16"/>
                <w:szCs w:val="16"/>
              </w:rPr>
              <w:t xml:space="preserve">a </w:t>
            </w:r>
            <w:r w:rsidRPr="003E479F">
              <w:rPr>
                <w:sz w:val="16"/>
                <w:szCs w:val="16"/>
              </w:rPr>
              <w:t xml:space="preserve">los valores nacionales </w:t>
            </w:r>
            <w:r w:rsidR="00D767BF" w:rsidRPr="003E479F">
              <w:rPr>
                <w:sz w:val="16"/>
                <w:szCs w:val="16"/>
              </w:rPr>
              <w:t xml:space="preserve">trimestrales y </w:t>
            </w:r>
            <w:r w:rsidRPr="003E479F">
              <w:rPr>
                <w:sz w:val="16"/>
                <w:szCs w:val="16"/>
              </w:rPr>
              <w:t xml:space="preserve">anuales </w:t>
            </w:r>
            <w:r w:rsidR="00D767BF" w:rsidRPr="003E479F">
              <w:rPr>
                <w:sz w:val="16"/>
                <w:szCs w:val="16"/>
              </w:rPr>
              <w:t xml:space="preserve">por entidad federativa </w:t>
            </w:r>
            <w:r w:rsidRPr="003E479F">
              <w:rPr>
                <w:sz w:val="16"/>
                <w:szCs w:val="16"/>
              </w:rPr>
              <w:t xml:space="preserve">con la técnica proporcional Denton </w:t>
            </w:r>
            <w:proofErr w:type="spellStart"/>
            <w:r w:rsidR="00F26E4F" w:rsidRPr="003E479F">
              <w:rPr>
                <w:sz w:val="16"/>
                <w:szCs w:val="16"/>
              </w:rPr>
              <w:t>bivariada</w:t>
            </w:r>
            <w:proofErr w:type="spellEnd"/>
            <w:r w:rsidR="00D767BF" w:rsidRPr="003E479F">
              <w:rPr>
                <w:sz w:val="16"/>
                <w:szCs w:val="16"/>
              </w:rPr>
              <w:t xml:space="preserve">, lo que </w:t>
            </w:r>
            <w:r w:rsidR="007326C6" w:rsidRPr="003E479F">
              <w:rPr>
                <w:sz w:val="16"/>
                <w:szCs w:val="16"/>
              </w:rPr>
              <w:t>preserva al máximo las variaciones de los datos de corto plazo.</w:t>
            </w:r>
          </w:p>
          <w:p w14:paraId="54C0E79B" w14:textId="5BBB3720" w:rsidR="00B16E95" w:rsidRPr="003E479F" w:rsidRDefault="00D767BF" w:rsidP="007E12BF">
            <w:pPr>
              <w:ind w:left="142" w:right="142"/>
              <w:rPr>
                <w:sz w:val="16"/>
                <w:szCs w:val="16"/>
              </w:rPr>
            </w:pPr>
            <w:r w:rsidRPr="003E479F">
              <w:rPr>
                <w:sz w:val="16"/>
                <w:szCs w:val="16"/>
              </w:rPr>
              <w:t>Por agregación de las actividades económicas se obtienen los sectores, las actividades económicas y el total del indicador</w:t>
            </w:r>
            <w:r w:rsidR="00297843" w:rsidRPr="003E479F">
              <w:rPr>
                <w:sz w:val="16"/>
                <w:szCs w:val="16"/>
              </w:rPr>
              <w:t>. Para g</w:t>
            </w:r>
            <w:r w:rsidR="007C1795" w:rsidRPr="003E479F">
              <w:rPr>
                <w:sz w:val="16"/>
                <w:szCs w:val="16"/>
              </w:rPr>
              <w:t>arantizar la comparabilidad regional y nacional, e</w:t>
            </w:r>
            <w:r w:rsidR="00297843" w:rsidRPr="003E479F">
              <w:rPr>
                <w:sz w:val="16"/>
                <w:szCs w:val="16"/>
              </w:rPr>
              <w:t xml:space="preserve">stos </w:t>
            </w:r>
            <w:r w:rsidR="00B16E95" w:rsidRPr="003E479F">
              <w:rPr>
                <w:sz w:val="16"/>
                <w:szCs w:val="16"/>
              </w:rPr>
              <w:t xml:space="preserve">resultados </w:t>
            </w:r>
            <w:r w:rsidR="00297843" w:rsidRPr="003E479F">
              <w:rPr>
                <w:sz w:val="16"/>
                <w:szCs w:val="16"/>
              </w:rPr>
              <w:t xml:space="preserve">se homologan </w:t>
            </w:r>
            <w:r w:rsidR="00B16E95" w:rsidRPr="003E479F">
              <w:rPr>
                <w:sz w:val="16"/>
                <w:szCs w:val="16"/>
              </w:rPr>
              <w:t xml:space="preserve">con los del </w:t>
            </w:r>
            <w:r w:rsidR="00A53062" w:rsidRPr="003E479F">
              <w:rPr>
                <w:smallCaps/>
                <w:sz w:val="16"/>
                <w:szCs w:val="16"/>
                <w:lang w:val="es-ES"/>
              </w:rPr>
              <w:t>pib</w:t>
            </w:r>
            <w:r w:rsidR="00A53062" w:rsidRPr="003E479F">
              <w:rPr>
                <w:sz w:val="16"/>
                <w:szCs w:val="16"/>
                <w:lang w:val="es-ES"/>
              </w:rPr>
              <w:t xml:space="preserve"> </w:t>
            </w:r>
            <w:r w:rsidR="00F26E4F" w:rsidRPr="003E479F">
              <w:rPr>
                <w:sz w:val="16"/>
                <w:szCs w:val="16"/>
              </w:rPr>
              <w:t xml:space="preserve">trimestral </w:t>
            </w:r>
            <w:r w:rsidR="00A53062" w:rsidRPr="003E479F">
              <w:rPr>
                <w:sz w:val="16"/>
                <w:szCs w:val="16"/>
              </w:rPr>
              <w:t>y</w:t>
            </w:r>
            <w:r w:rsidR="00B16E95" w:rsidRPr="003E479F">
              <w:rPr>
                <w:sz w:val="16"/>
                <w:szCs w:val="16"/>
              </w:rPr>
              <w:t xml:space="preserve"> los del </w:t>
            </w:r>
            <w:r w:rsidR="00B16E95" w:rsidRPr="003E479F">
              <w:rPr>
                <w:smallCaps/>
                <w:sz w:val="16"/>
                <w:szCs w:val="16"/>
                <w:lang w:val="es-ES"/>
              </w:rPr>
              <w:t>pibe</w:t>
            </w:r>
            <w:r w:rsidR="007C1795" w:rsidRPr="003E479F">
              <w:rPr>
                <w:smallCaps/>
                <w:sz w:val="16"/>
                <w:szCs w:val="16"/>
                <w:lang w:val="es-ES"/>
              </w:rPr>
              <w:t>.</w:t>
            </w:r>
            <w:r w:rsidR="00B16E95" w:rsidRPr="003E479F">
              <w:rPr>
                <w:sz w:val="16"/>
                <w:szCs w:val="16"/>
                <w:lang w:val="es-ES"/>
              </w:rPr>
              <w:t xml:space="preserve"> </w:t>
            </w:r>
          </w:p>
        </w:tc>
      </w:tr>
      <w:tr w:rsidR="00B57FE9" w:rsidRPr="003E479F" w14:paraId="18E4DC44" w14:textId="77777777" w:rsidTr="007451F0">
        <w:trPr>
          <w:jc w:val="center"/>
        </w:trPr>
        <w:tc>
          <w:tcPr>
            <w:tcW w:w="2268" w:type="dxa"/>
            <w:vAlign w:val="center"/>
          </w:tcPr>
          <w:p w14:paraId="2A63E206" w14:textId="2FFF49B4" w:rsidR="00B57FE9" w:rsidRPr="003E479F" w:rsidRDefault="00B57FE9" w:rsidP="007451F0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6"/>
                <w:szCs w:val="16"/>
              </w:rPr>
            </w:pPr>
            <w:r w:rsidRPr="003E479F">
              <w:rPr>
                <w:b/>
                <w:bCs/>
                <w:color w:val="auto"/>
                <w:spacing w:val="-1"/>
                <w:sz w:val="16"/>
                <w:szCs w:val="16"/>
              </w:rPr>
              <w:t>Ajuste estacional y modelos</w:t>
            </w:r>
          </w:p>
        </w:tc>
        <w:tc>
          <w:tcPr>
            <w:tcW w:w="7689" w:type="dxa"/>
            <w:vAlign w:val="center"/>
          </w:tcPr>
          <w:p w14:paraId="6FBB4040" w14:textId="6E4B5FD4" w:rsidR="00B57FE9" w:rsidRPr="003E479F" w:rsidRDefault="00B57FE9" w:rsidP="007E12BF">
            <w:pPr>
              <w:ind w:left="142" w:right="142"/>
              <w:rPr>
                <w:sz w:val="16"/>
                <w:szCs w:val="16"/>
              </w:rPr>
            </w:pPr>
            <w:r w:rsidRPr="003E479F">
              <w:rPr>
                <w:sz w:val="16"/>
                <w:szCs w:val="16"/>
              </w:rPr>
              <w:t>Las series originales se ajustan estacionalmente mediante el paquete estadístico X</w:t>
            </w:r>
            <w:r w:rsidR="00D63C73" w:rsidRPr="003E479F">
              <w:rPr>
                <w:sz w:val="16"/>
                <w:szCs w:val="16"/>
              </w:rPr>
              <w:noBreakHyphen/>
            </w:r>
            <w:r w:rsidRPr="003E479F">
              <w:rPr>
                <w:sz w:val="16"/>
                <w:szCs w:val="16"/>
              </w:rPr>
              <w:t>13ARIMA</w:t>
            </w:r>
            <w:r w:rsidR="00D63C73" w:rsidRPr="003E479F">
              <w:rPr>
                <w:sz w:val="16"/>
                <w:szCs w:val="16"/>
              </w:rPr>
              <w:noBreakHyphen/>
            </w:r>
            <w:r w:rsidRPr="003E479F">
              <w:rPr>
                <w:sz w:val="16"/>
                <w:szCs w:val="16"/>
              </w:rPr>
              <w:t xml:space="preserve">SEATS. Para conocer la metodología, consúltese la siguiente liga: </w:t>
            </w:r>
          </w:p>
          <w:p w14:paraId="7D9CCA7C" w14:textId="77777777" w:rsidR="00B57FE9" w:rsidRPr="003E479F" w:rsidRDefault="00B57FE9" w:rsidP="007E12BF">
            <w:pPr>
              <w:ind w:left="142" w:right="142"/>
              <w:rPr>
                <w:sz w:val="16"/>
                <w:szCs w:val="16"/>
              </w:rPr>
            </w:pPr>
            <w:hyperlink r:id="rId51" w:history="1">
              <w:r w:rsidRPr="003E479F">
                <w:rPr>
                  <w:rStyle w:val="Hipervnculo"/>
                  <w:sz w:val="16"/>
                  <w:szCs w:val="16"/>
                </w:rPr>
                <w:t>https://www.inegi.org.mx/app/biblioteca/ficha.html?upc=702825099060</w:t>
              </w:r>
            </w:hyperlink>
            <w:r w:rsidRPr="003E479F">
              <w:rPr>
                <w:sz w:val="16"/>
                <w:szCs w:val="16"/>
              </w:rPr>
              <w:t xml:space="preserve"> </w:t>
            </w:r>
          </w:p>
          <w:p w14:paraId="54E2B920" w14:textId="7303C32C" w:rsidR="00B57FE9" w:rsidRPr="003E479F" w:rsidRDefault="00894D18" w:rsidP="007E12BF">
            <w:pPr>
              <w:pStyle w:val="Texto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16"/>
                <w:szCs w:val="16"/>
              </w:rPr>
            </w:pPr>
            <w:r w:rsidRPr="003E479F">
              <w:rPr>
                <w:sz w:val="16"/>
                <w:szCs w:val="16"/>
                <w:lang w:val="es-ES_tradnl"/>
              </w:rPr>
              <w:t xml:space="preserve">Las especificaciones de los modelos están disponibles en el </w:t>
            </w:r>
            <w:r w:rsidR="00B57FE9" w:rsidRPr="003E479F">
              <w:rPr>
                <w:sz w:val="16"/>
                <w:szCs w:val="16"/>
              </w:rPr>
              <w:t>Banco de Información Económica (</w:t>
            </w:r>
            <w:proofErr w:type="spellStart"/>
            <w:r w:rsidR="00AC6EDF" w:rsidRPr="003E479F">
              <w:rPr>
                <w:smallCaps/>
                <w:sz w:val="16"/>
                <w:szCs w:val="16"/>
              </w:rPr>
              <w:t>bie</w:t>
            </w:r>
            <w:proofErr w:type="spellEnd"/>
            <w:r w:rsidR="00B57FE9" w:rsidRPr="003E479F">
              <w:rPr>
                <w:sz w:val="16"/>
                <w:szCs w:val="16"/>
              </w:rPr>
              <w:t>). Seleccione «Indicadores económicos de coyuntura</w:t>
            </w:r>
            <w:r w:rsidR="00A26FEE" w:rsidRPr="003E479F">
              <w:rPr>
                <w:sz w:val="16"/>
                <w:szCs w:val="16"/>
              </w:rPr>
              <w:t xml:space="preserve">, </w:t>
            </w:r>
            <w:r w:rsidR="007326C6" w:rsidRPr="003E479F">
              <w:rPr>
                <w:sz w:val="16"/>
                <w:szCs w:val="16"/>
              </w:rPr>
              <w:t>Indicador Trimestral de la Actividad Económica Estatal</w:t>
            </w:r>
            <w:r w:rsidR="00B57FE9" w:rsidRPr="003E479F">
              <w:rPr>
                <w:sz w:val="16"/>
                <w:szCs w:val="16"/>
              </w:rPr>
              <w:t xml:space="preserve">» y vaya al </w:t>
            </w:r>
            <w:r w:rsidR="00CE5829">
              <w:rPr>
                <w:sz w:val="16"/>
                <w:szCs w:val="16"/>
              </w:rPr>
              <w:t>i</w:t>
            </w:r>
            <w:r w:rsidR="00B57FE9" w:rsidRPr="003E479F">
              <w:rPr>
                <w:sz w:val="16"/>
                <w:szCs w:val="16"/>
              </w:rPr>
              <w:t>cono de información correspondiente a las «series desestacionalizadas y de tendencia</w:t>
            </w:r>
            <w:r w:rsidR="00CE5829">
              <w:rPr>
                <w:sz w:val="16"/>
                <w:szCs w:val="16"/>
              </w:rPr>
              <w:noBreakHyphen/>
            </w:r>
            <w:r w:rsidR="00B57FE9" w:rsidRPr="003E479F">
              <w:rPr>
                <w:sz w:val="16"/>
                <w:szCs w:val="16"/>
              </w:rPr>
              <w:t>ciclo».</w:t>
            </w:r>
          </w:p>
        </w:tc>
      </w:tr>
      <w:tr w:rsidR="007639E2" w:rsidRPr="003E479F" w14:paraId="27115D45" w14:textId="77777777" w:rsidTr="007451F0">
        <w:trPr>
          <w:trHeight w:val="227"/>
          <w:jc w:val="center"/>
        </w:trPr>
        <w:tc>
          <w:tcPr>
            <w:tcW w:w="2268" w:type="dxa"/>
            <w:vAlign w:val="center"/>
          </w:tcPr>
          <w:p w14:paraId="64102C58" w14:textId="313FD91B" w:rsidR="007639E2" w:rsidRPr="003E479F" w:rsidRDefault="002A4206" w:rsidP="007451F0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6"/>
                <w:szCs w:val="16"/>
              </w:rPr>
            </w:pPr>
            <w:r w:rsidRPr="003E479F">
              <w:rPr>
                <w:b/>
                <w:bCs/>
                <w:color w:val="auto"/>
                <w:spacing w:val="-1"/>
                <w:sz w:val="16"/>
                <w:szCs w:val="16"/>
              </w:rPr>
              <w:t>Publicación de resultados</w:t>
            </w:r>
          </w:p>
        </w:tc>
        <w:tc>
          <w:tcPr>
            <w:tcW w:w="7689" w:type="dxa"/>
            <w:vAlign w:val="center"/>
          </w:tcPr>
          <w:p w14:paraId="5B820BF3" w14:textId="699A6E24" w:rsidR="007639E2" w:rsidRPr="003E479F" w:rsidRDefault="002A4206" w:rsidP="007E12BF">
            <w:pPr>
              <w:pStyle w:val="Texto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16"/>
                <w:szCs w:val="16"/>
              </w:rPr>
            </w:pPr>
            <w:r w:rsidRPr="003E479F">
              <w:rPr>
                <w:sz w:val="16"/>
                <w:szCs w:val="16"/>
              </w:rPr>
              <w:t xml:space="preserve">El </w:t>
            </w:r>
            <w:proofErr w:type="spellStart"/>
            <w:r w:rsidR="00FB41DC" w:rsidRPr="003E479F">
              <w:rPr>
                <w:smallCaps/>
                <w:sz w:val="16"/>
                <w:szCs w:val="16"/>
              </w:rPr>
              <w:t>itaee</w:t>
            </w:r>
            <w:proofErr w:type="spellEnd"/>
            <w:r w:rsidRPr="003E479F">
              <w:rPr>
                <w:sz w:val="16"/>
                <w:szCs w:val="16"/>
              </w:rPr>
              <w:t xml:space="preserve"> </w:t>
            </w:r>
            <w:r w:rsidR="004F00E5" w:rsidRPr="003E479F">
              <w:rPr>
                <w:sz w:val="16"/>
                <w:szCs w:val="16"/>
              </w:rPr>
              <w:t>s</w:t>
            </w:r>
            <w:r w:rsidRPr="003E479F">
              <w:rPr>
                <w:sz w:val="16"/>
                <w:szCs w:val="16"/>
              </w:rPr>
              <w:t>e publica</w:t>
            </w:r>
            <w:r w:rsidR="00FD3E9C" w:rsidRPr="003E479F">
              <w:rPr>
                <w:sz w:val="16"/>
                <w:szCs w:val="16"/>
              </w:rPr>
              <w:t>,</w:t>
            </w:r>
            <w:r w:rsidRPr="003E479F">
              <w:rPr>
                <w:sz w:val="16"/>
                <w:szCs w:val="16"/>
              </w:rPr>
              <w:t xml:space="preserve"> </w:t>
            </w:r>
            <w:r w:rsidR="00D767BF" w:rsidRPr="003E479F">
              <w:rPr>
                <w:sz w:val="16"/>
                <w:szCs w:val="16"/>
              </w:rPr>
              <w:t>en promedio</w:t>
            </w:r>
            <w:r w:rsidR="00FD3E9C" w:rsidRPr="003E479F">
              <w:rPr>
                <w:sz w:val="16"/>
                <w:szCs w:val="16"/>
              </w:rPr>
              <w:t>,</w:t>
            </w:r>
            <w:r w:rsidR="00D767BF" w:rsidRPr="003E479F">
              <w:rPr>
                <w:sz w:val="16"/>
                <w:szCs w:val="16"/>
              </w:rPr>
              <w:t xml:space="preserve"> 120 días después </w:t>
            </w:r>
            <w:r w:rsidR="006E0744" w:rsidRPr="003E479F">
              <w:rPr>
                <w:sz w:val="16"/>
                <w:szCs w:val="16"/>
              </w:rPr>
              <w:t xml:space="preserve">del </w:t>
            </w:r>
            <w:r w:rsidR="00D767BF" w:rsidRPr="003E479F">
              <w:rPr>
                <w:sz w:val="16"/>
                <w:szCs w:val="16"/>
              </w:rPr>
              <w:t xml:space="preserve">trimestre de referencia </w:t>
            </w:r>
            <w:r w:rsidR="004F00E5" w:rsidRPr="003E479F">
              <w:rPr>
                <w:sz w:val="16"/>
                <w:szCs w:val="16"/>
              </w:rPr>
              <w:t>conforme al Calendario de Difusión de Información Estadística y Geográfica y de Interés Nacional</w:t>
            </w:r>
            <w:r w:rsidR="00694F6F" w:rsidRPr="003E479F">
              <w:rPr>
                <w:sz w:val="16"/>
                <w:szCs w:val="16"/>
              </w:rPr>
              <w:t>.</w:t>
            </w:r>
            <w:r w:rsidRPr="003E479F">
              <w:rPr>
                <w:sz w:val="16"/>
                <w:szCs w:val="16"/>
              </w:rPr>
              <w:t xml:space="preserve"> </w:t>
            </w:r>
          </w:p>
        </w:tc>
      </w:tr>
      <w:tr w:rsidR="00B730F2" w:rsidRPr="003E479F" w14:paraId="2E9C088B" w14:textId="77777777" w:rsidTr="007451F0">
        <w:trPr>
          <w:trHeight w:val="227"/>
          <w:jc w:val="center"/>
        </w:trPr>
        <w:tc>
          <w:tcPr>
            <w:tcW w:w="2268" w:type="dxa"/>
            <w:vAlign w:val="center"/>
          </w:tcPr>
          <w:p w14:paraId="20544FEB" w14:textId="55C6BBB0" w:rsidR="00B730F2" w:rsidRPr="003E479F" w:rsidRDefault="00B730F2" w:rsidP="007451F0">
            <w:pPr>
              <w:pStyle w:val="Textoindependiente"/>
              <w:kinsoku w:val="0"/>
              <w:overflowPunct w:val="0"/>
              <w:spacing w:before="0"/>
              <w:ind w:left="142" w:right="142"/>
              <w:jc w:val="right"/>
              <w:rPr>
                <w:b/>
                <w:bCs/>
                <w:color w:val="auto"/>
                <w:spacing w:val="-1"/>
                <w:sz w:val="16"/>
                <w:szCs w:val="16"/>
              </w:rPr>
            </w:pPr>
            <w:r w:rsidRPr="003E479F">
              <w:rPr>
                <w:b/>
                <w:bCs/>
                <w:color w:val="auto"/>
                <w:spacing w:val="-1"/>
                <w:sz w:val="16"/>
                <w:szCs w:val="16"/>
              </w:rPr>
              <w:t>Nota al usuario</w:t>
            </w:r>
          </w:p>
        </w:tc>
        <w:tc>
          <w:tcPr>
            <w:tcW w:w="7689" w:type="dxa"/>
            <w:vAlign w:val="center"/>
          </w:tcPr>
          <w:p w14:paraId="529D2B27" w14:textId="7C008813" w:rsidR="0039422A" w:rsidRPr="003E479F" w:rsidRDefault="0039422A" w:rsidP="007E12BF">
            <w:pPr>
              <w:pStyle w:val="Texto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16"/>
                <w:szCs w:val="16"/>
                <w:shd w:val="clear" w:color="auto" w:fill="FFFFFF"/>
              </w:rPr>
            </w:pPr>
            <w:r w:rsidRPr="003E479F">
              <w:rPr>
                <w:sz w:val="16"/>
                <w:szCs w:val="16"/>
                <w:shd w:val="clear" w:color="auto" w:fill="FFFFFF"/>
              </w:rPr>
              <w:t xml:space="preserve">Este indicador se actualiza una vez que se dispone de la información estadística más reciente de las Cuentas de Bienes y Servicios y del </w:t>
            </w:r>
            <w:r w:rsidRPr="003E479F">
              <w:rPr>
                <w:smallCaps/>
                <w:sz w:val="16"/>
                <w:szCs w:val="16"/>
                <w:shd w:val="clear" w:color="auto" w:fill="FFFFFF"/>
              </w:rPr>
              <w:t>pib</w:t>
            </w:r>
            <w:r w:rsidR="00F26E4F" w:rsidRPr="003E479F">
              <w:rPr>
                <w:smallCaps/>
                <w:sz w:val="16"/>
                <w:szCs w:val="16"/>
                <w:shd w:val="clear" w:color="auto" w:fill="FFFFFF"/>
              </w:rPr>
              <w:t>e</w:t>
            </w:r>
            <w:r w:rsidRPr="003E479F">
              <w:rPr>
                <w:sz w:val="16"/>
                <w:szCs w:val="16"/>
                <w:shd w:val="clear" w:color="auto" w:fill="FFFFFF"/>
              </w:rPr>
              <w:t xml:space="preserve"> 2023 versión preliminar, de las encuestas, los registros administrativos y los datos primarios. Como resultado de incorporar esta información, se identifican diferencias en los niveles de los índices y variaciones que se publicaron oportunamente. La actualización se hace con base en los «Lineamientos de cambios a la información divulgada en las publicaciones estadísticas y geográficas del Instituto Nacional de Estadística y Geografía» que se complementan con las «Normas Especiales para la Divulgación de Datos» del Fondo Monetario Internacional.</w:t>
            </w:r>
          </w:p>
          <w:p w14:paraId="0688DE82" w14:textId="1EEFB9CD" w:rsidR="00B57FE9" w:rsidRPr="003E479F" w:rsidRDefault="0039422A" w:rsidP="007E12BF">
            <w:pPr>
              <w:pStyle w:val="Texto"/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16"/>
                <w:szCs w:val="16"/>
              </w:rPr>
            </w:pPr>
            <w:r w:rsidRPr="003E479F">
              <w:rPr>
                <w:sz w:val="16"/>
                <w:szCs w:val="16"/>
                <w:shd w:val="clear" w:color="auto" w:fill="FFFFFF"/>
              </w:rPr>
              <w:t xml:space="preserve">En la integración del </w:t>
            </w:r>
            <w:proofErr w:type="spellStart"/>
            <w:r w:rsidRPr="003E479F">
              <w:rPr>
                <w:smallCaps/>
                <w:sz w:val="16"/>
                <w:szCs w:val="16"/>
                <w:shd w:val="clear" w:color="auto" w:fill="FFFFFF"/>
              </w:rPr>
              <w:t>itaee</w:t>
            </w:r>
            <w:proofErr w:type="spellEnd"/>
            <w:r w:rsidRPr="003E479F">
              <w:rPr>
                <w:sz w:val="16"/>
                <w:szCs w:val="16"/>
                <w:shd w:val="clear" w:color="auto" w:fill="FFFFFF"/>
              </w:rPr>
              <w:t xml:space="preserve"> se consideraron las encuestas económicas, la</w:t>
            </w:r>
            <w:r w:rsidR="009D56C8" w:rsidRPr="003E479F">
              <w:rPr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="009D56C8" w:rsidRPr="003E479F">
              <w:rPr>
                <w:smallCaps/>
                <w:sz w:val="16"/>
                <w:szCs w:val="16"/>
                <w:shd w:val="clear" w:color="auto" w:fill="FFFFFF"/>
              </w:rPr>
              <w:t>eimm</w:t>
            </w:r>
            <w:proofErr w:type="spellEnd"/>
            <w:r w:rsidRPr="003E479F">
              <w:rPr>
                <w:sz w:val="16"/>
                <w:szCs w:val="16"/>
                <w:shd w:val="clear" w:color="auto" w:fill="FFFFFF"/>
              </w:rPr>
              <w:t xml:space="preserve">, la </w:t>
            </w:r>
            <w:proofErr w:type="spellStart"/>
            <w:r w:rsidR="009D56C8" w:rsidRPr="003E479F">
              <w:rPr>
                <w:smallCaps/>
                <w:sz w:val="16"/>
                <w:szCs w:val="16"/>
                <w:shd w:val="clear" w:color="auto" w:fill="FFFFFF"/>
              </w:rPr>
              <w:t>enoe</w:t>
            </w:r>
            <w:proofErr w:type="spellEnd"/>
            <w:r w:rsidRPr="003E479F">
              <w:rPr>
                <w:sz w:val="16"/>
                <w:szCs w:val="16"/>
                <w:shd w:val="clear" w:color="auto" w:fill="FFFFFF"/>
              </w:rPr>
              <w:t>, de los registros administrativos y los datos primarios que divulga el Instituto. Los registros administrativos provenientes de las empresas y Unidades del Estado que se recibieron oportunamente vía correo electrónico e internet</w:t>
            </w:r>
            <w:r w:rsidR="00F26E4F" w:rsidRPr="003E479F">
              <w:rPr>
                <w:sz w:val="16"/>
                <w:szCs w:val="16"/>
                <w:shd w:val="clear" w:color="auto" w:fill="FFFFFF"/>
              </w:rPr>
              <w:t>.</w:t>
            </w:r>
            <w:r w:rsidRPr="003E479F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="00F26E4F" w:rsidRPr="003E479F">
              <w:rPr>
                <w:sz w:val="16"/>
                <w:szCs w:val="16"/>
                <w:shd w:val="clear" w:color="auto" w:fill="FFFFFF"/>
              </w:rPr>
              <w:t>Esto</w:t>
            </w:r>
            <w:r w:rsidRPr="003E479F">
              <w:rPr>
                <w:sz w:val="16"/>
                <w:szCs w:val="16"/>
                <w:shd w:val="clear" w:color="auto" w:fill="FFFFFF"/>
              </w:rPr>
              <w:t xml:space="preserve"> permitió la generación de estadísticas con niveles altos de cobertura.</w:t>
            </w:r>
          </w:p>
          <w:p w14:paraId="1FA5F430" w14:textId="1A058609" w:rsidR="00B57FE9" w:rsidRPr="003E479F" w:rsidRDefault="00B57FE9" w:rsidP="007E12BF">
            <w:pPr>
              <w:pStyle w:val="Texto"/>
              <w:autoSpaceDE w:val="0"/>
              <w:autoSpaceDN w:val="0"/>
              <w:adjustRightInd w:val="0"/>
              <w:spacing w:after="0" w:line="240" w:lineRule="auto"/>
              <w:ind w:left="142" w:right="142" w:firstLine="0"/>
              <w:rPr>
                <w:sz w:val="16"/>
                <w:szCs w:val="16"/>
              </w:rPr>
            </w:pPr>
            <w:r w:rsidRPr="003E479F">
              <w:rPr>
                <w:sz w:val="16"/>
                <w:szCs w:val="16"/>
              </w:rPr>
              <w:t xml:space="preserve">El </w:t>
            </w:r>
            <w:r w:rsidRPr="003E479F">
              <w:rPr>
                <w:smallCaps/>
                <w:sz w:val="16"/>
                <w:szCs w:val="16"/>
              </w:rPr>
              <w:t xml:space="preserve">inegi </w:t>
            </w:r>
            <w:r w:rsidRPr="003E479F">
              <w:rPr>
                <w:sz w:val="16"/>
                <w:szCs w:val="16"/>
              </w:rPr>
              <w:t xml:space="preserve">invita conocer </w:t>
            </w:r>
            <w:r w:rsidR="008D5379" w:rsidRPr="003E479F">
              <w:rPr>
                <w:sz w:val="16"/>
                <w:szCs w:val="16"/>
              </w:rPr>
              <w:t>con</w:t>
            </w:r>
            <w:r w:rsidRPr="003E479F">
              <w:rPr>
                <w:sz w:val="16"/>
                <w:szCs w:val="16"/>
              </w:rPr>
              <w:t xml:space="preserve"> mayor detalle la metodología del </w:t>
            </w:r>
            <w:proofErr w:type="spellStart"/>
            <w:r w:rsidR="00FB41DC" w:rsidRPr="003E479F">
              <w:rPr>
                <w:smallCaps/>
                <w:sz w:val="16"/>
                <w:szCs w:val="16"/>
                <w:shd w:val="clear" w:color="auto" w:fill="FFFFFF"/>
              </w:rPr>
              <w:t>itaee</w:t>
            </w:r>
            <w:proofErr w:type="spellEnd"/>
            <w:r w:rsidRPr="003E479F">
              <w:rPr>
                <w:smallCaps/>
                <w:sz w:val="16"/>
                <w:szCs w:val="16"/>
              </w:rPr>
              <w:t xml:space="preserve"> </w:t>
            </w:r>
            <w:r w:rsidRPr="003E479F">
              <w:rPr>
                <w:sz w:val="16"/>
                <w:szCs w:val="16"/>
              </w:rPr>
              <w:t>en la siguiente liga:</w:t>
            </w:r>
          </w:p>
          <w:p w14:paraId="5D8ABDB1" w14:textId="46C990E9" w:rsidR="005E793F" w:rsidRPr="003E479F" w:rsidRDefault="005E793F" w:rsidP="007E12BF">
            <w:pPr>
              <w:ind w:left="142" w:right="142"/>
              <w:rPr>
                <w:color w:val="0000FF"/>
                <w:sz w:val="16"/>
                <w:szCs w:val="16"/>
                <w:u w:val="single"/>
              </w:rPr>
            </w:pPr>
            <w:r w:rsidRPr="003E479F">
              <w:rPr>
                <w:rStyle w:val="Hipervnculo"/>
                <w:sz w:val="16"/>
                <w:szCs w:val="16"/>
              </w:rPr>
              <w:t>https://www.inegi.org.mx/programas/itaee/2018/</w:t>
            </w:r>
          </w:p>
        </w:tc>
      </w:tr>
    </w:tbl>
    <w:p w14:paraId="07EA3EEE" w14:textId="1F6D9A94" w:rsidR="00AA037A" w:rsidRPr="00AA037A" w:rsidRDefault="00AA037A" w:rsidP="007F164E">
      <w:pPr>
        <w:pStyle w:val="NormalWeb"/>
        <w:spacing w:before="120" w:beforeAutospacing="0" w:after="0" w:afterAutospacing="0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</w:pPr>
      <w:r w:rsidRPr="00AA037A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>La información estadística y geográfica que genera el</w:t>
      </w:r>
      <w:r w:rsidR="00A53062" w:rsidRPr="00A53062">
        <w:rPr>
          <w:rFonts w:ascii="Arial" w:hAnsi="Arial" w:cs="Arial"/>
          <w:i/>
          <w:iCs/>
          <w:smallCaps/>
          <w:color w:val="404040" w:themeColor="text1" w:themeTint="BF"/>
          <w:sz w:val="20"/>
          <w:szCs w:val="20"/>
          <w:lang w:val="es-ES_tradnl"/>
        </w:rPr>
        <w:t xml:space="preserve"> inegi</w:t>
      </w:r>
      <w:r w:rsidR="00A53062" w:rsidRPr="00AA037A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 xml:space="preserve"> </w:t>
      </w:r>
      <w:r w:rsidRPr="00AA037A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 xml:space="preserve">es un bien público y nos permite </w:t>
      </w:r>
    </w:p>
    <w:p w14:paraId="407CEC42" w14:textId="77777777" w:rsidR="00AA037A" w:rsidRPr="00AA037A" w:rsidRDefault="00AA037A" w:rsidP="00A53062">
      <w:pPr>
        <w:pStyle w:val="NormalWeb"/>
        <w:spacing w:before="0" w:beforeAutospacing="0" w:after="0" w:afterAutospacing="0"/>
        <w:contextualSpacing/>
        <w:jc w:val="center"/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</w:pPr>
      <w:r w:rsidRPr="00AA037A">
        <w:rPr>
          <w:rFonts w:ascii="Arial" w:hAnsi="Arial" w:cs="Arial"/>
          <w:i/>
          <w:iCs/>
          <w:color w:val="404040" w:themeColor="text1" w:themeTint="BF"/>
          <w:sz w:val="20"/>
          <w:szCs w:val="20"/>
          <w:lang w:val="es-ES_tradnl"/>
        </w:rPr>
        <w:t>a todas y a todos tomar mejores decisiones. ¡Conócela, úsala y compártela!</w:t>
      </w:r>
    </w:p>
    <w:p w14:paraId="690ACEE7" w14:textId="631A2311" w:rsidR="00A62AC7" w:rsidRPr="001F1279" w:rsidRDefault="00AA037A" w:rsidP="00E96745">
      <w:pPr>
        <w:contextualSpacing/>
        <w:jc w:val="center"/>
        <w:rPr>
          <w:i/>
          <w:iCs/>
          <w:smallCaps/>
        </w:rPr>
      </w:pPr>
      <w:r w:rsidRPr="00642716">
        <w:rPr>
          <w:noProof/>
        </w:rPr>
        <w:drawing>
          <wp:inline distT="0" distB="0" distL="0" distR="0" wp14:anchorId="4035BA76" wp14:editId="6DEE8138">
            <wp:extent cx="229711" cy="222140"/>
            <wp:effectExtent l="0" t="0" r="0" b="6985"/>
            <wp:docPr id="21" name="Imagen 21" descr="Icono&#10;&#10;Descripción generada automáticamente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70" cy="24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567D941C" wp14:editId="2AA7CA18">
            <wp:extent cx="234725" cy="234725"/>
            <wp:effectExtent l="0" t="0" r="0" b="0"/>
            <wp:docPr id="2097748279" name="Imagen 2097748279" descr="Icono&#10;&#10;Descripción generada automáticamente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48279" name="Imagen 2097748279" descr="Icono&#10;&#10;Descripción generada automáticamente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6" cy="24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0200BEFC" wp14:editId="71AB68DD">
            <wp:extent cx="237490" cy="237490"/>
            <wp:effectExtent l="0" t="0" r="0" b="0"/>
            <wp:docPr id="384343980" name="Imagen 384343980" descr="Imagen que contiene objeto, reloj&#10;&#10;Descripción generada automáticamente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343980" name="Imagen 384343980" descr="Imagen que contiene objeto, reloj&#10;&#10;Descripción generada automáticamente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2" cy="24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57E2E3A4" wp14:editId="3643F700">
            <wp:extent cx="233654" cy="233654"/>
            <wp:effectExtent l="0" t="0" r="0" b="0"/>
            <wp:docPr id="22" name="Imagen 22" descr="Logotipo&#10;&#10;Descripción generada automáticamente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77" cy="24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2716">
        <w:rPr>
          <w:noProof/>
        </w:rPr>
        <w:t xml:space="preserve"> </w:t>
      </w:r>
      <w:r>
        <w:rPr>
          <w:noProof/>
        </w:rPr>
        <w:t xml:space="preserve">   </w:t>
      </w:r>
      <w:r w:rsidRPr="00642716">
        <w:rPr>
          <w:noProof/>
        </w:rPr>
        <w:t xml:space="preserve"> </w:t>
      </w:r>
      <w:r w:rsidRPr="00642716">
        <w:rPr>
          <w:noProof/>
        </w:rPr>
        <w:drawing>
          <wp:inline distT="0" distB="0" distL="0" distR="0" wp14:anchorId="68678E78" wp14:editId="5F3E59AD">
            <wp:extent cx="1436914" cy="152592"/>
            <wp:effectExtent l="0" t="0" r="0" b="0"/>
            <wp:docPr id="1297389716" name="Imagen 1297389716" descr="Icono&#10;&#10;Descripción generada automáticamente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914" cy="152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2AC7" w:rsidRPr="001F1279" w:rsidSect="005B3C9E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2242" w:h="15842" w:code="1"/>
      <w:pgMar w:top="2268" w:right="1134" w:bottom="1418" w:left="1134" w:header="284" w:footer="0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6D43" w14:textId="77777777" w:rsidR="00C22012" w:rsidRDefault="00C22012">
      <w:r>
        <w:separator/>
      </w:r>
    </w:p>
  </w:endnote>
  <w:endnote w:type="continuationSeparator" w:id="0">
    <w:p w14:paraId="2952E140" w14:textId="77777777" w:rsidR="00C22012" w:rsidRDefault="00C22012">
      <w:r>
        <w:continuationSeparator/>
      </w:r>
    </w:p>
  </w:endnote>
  <w:endnote w:type="continuationNotice" w:id="1">
    <w:p w14:paraId="47F09CBE" w14:textId="77777777" w:rsidR="00C22012" w:rsidRDefault="00C220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2DB1E" w14:textId="77777777" w:rsidR="00AD44ED" w:rsidRDefault="00AD44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8DC7" w14:textId="77777777" w:rsidR="00AD44ED" w:rsidRDefault="00AD44E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4D7BE" w14:textId="77777777" w:rsidR="00AD44ED" w:rsidRDefault="00AD44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110DD" w14:textId="77777777" w:rsidR="00C22012" w:rsidRDefault="00C22012">
      <w:r>
        <w:separator/>
      </w:r>
    </w:p>
  </w:footnote>
  <w:footnote w:type="continuationSeparator" w:id="0">
    <w:p w14:paraId="285B1ED9" w14:textId="77777777" w:rsidR="00C22012" w:rsidRDefault="00C22012">
      <w:r>
        <w:continuationSeparator/>
      </w:r>
    </w:p>
  </w:footnote>
  <w:footnote w:type="continuationNotice" w:id="1">
    <w:p w14:paraId="0C12B9FF" w14:textId="77777777" w:rsidR="00C22012" w:rsidRDefault="00C22012"/>
  </w:footnote>
  <w:footnote w:id="2">
    <w:p w14:paraId="324F3964" w14:textId="77777777" w:rsidR="001923D9" w:rsidRDefault="002D2065" w:rsidP="001923D9">
      <w:pPr>
        <w:pStyle w:val="Textonotapie"/>
        <w:ind w:left="170" w:hanging="170"/>
        <w:rPr>
          <w:sz w:val="16"/>
          <w:szCs w:val="16"/>
        </w:rPr>
      </w:pPr>
      <w:r>
        <w:rPr>
          <w:rStyle w:val="Refdenotaalpie"/>
        </w:rPr>
        <w:footnoteRef/>
      </w:r>
      <w:r w:rsidR="000A614E" w:rsidRPr="00F51419">
        <w:rPr>
          <w:lang w:val="es-MX"/>
        </w:rPr>
        <w:tab/>
      </w:r>
      <w:r w:rsidR="001923D9" w:rsidRPr="00FA1A92">
        <w:rPr>
          <w:sz w:val="16"/>
          <w:szCs w:val="16"/>
        </w:rPr>
        <w:t>La mayoría de las series económicas se ve afectada por factores estacionales y de calendario. El ajuste de los datos por dichos factores permite obtener las cifras desestacionalizadas. Su análisis ayuda a realizar un mejor diagnóstico de la evolución de las variables.</w:t>
      </w:r>
    </w:p>
    <w:p w14:paraId="21045312" w14:textId="7F97A7F2" w:rsidR="002D2065" w:rsidRPr="000A614E" w:rsidRDefault="008F164F" w:rsidP="008F164F">
      <w:pPr>
        <w:pStyle w:val="Textonotapie"/>
        <w:ind w:left="170" w:hanging="170"/>
        <w:rPr>
          <w:sz w:val="16"/>
          <w:szCs w:val="16"/>
        </w:rPr>
      </w:pPr>
      <w:r>
        <w:rPr>
          <w:sz w:val="16"/>
          <w:szCs w:val="16"/>
          <w:lang w:val="es-MX"/>
        </w:rPr>
        <w:tab/>
      </w:r>
      <w:r w:rsidR="001923D9" w:rsidRPr="009C42A4">
        <w:rPr>
          <w:sz w:val="16"/>
          <w:szCs w:val="16"/>
          <w:lang w:val="es-MX"/>
        </w:rPr>
        <w:t xml:space="preserve">La </w:t>
      </w:r>
      <w:r w:rsidR="001923D9">
        <w:rPr>
          <w:sz w:val="16"/>
          <w:szCs w:val="16"/>
          <w:lang w:val="es-MX"/>
        </w:rPr>
        <w:t>t</w:t>
      </w:r>
      <w:r w:rsidR="001923D9" w:rsidRPr="009C42A4">
        <w:rPr>
          <w:sz w:val="16"/>
          <w:szCs w:val="16"/>
          <w:lang w:val="es-MX"/>
        </w:rPr>
        <w:t>endencia-ciclo es la combinación de los componentes de tendencia y ciclo. La tendencia se refiere a la evolución de largo plazo de la serie de tiempo, y el ciclo, a las desviaciones alrededor de la tendencia. Así, el análisis de las series ajustadas ayuda a realizar un mejor diagnóstico de la evolución de las variables.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5083" w14:textId="77777777" w:rsidR="00AD44ED" w:rsidRDefault="00AD44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2391" w14:textId="35667DBF" w:rsidR="009D653F" w:rsidRPr="007325AE" w:rsidRDefault="006A5FA6" w:rsidP="00E84787">
    <w:pPr>
      <w:pStyle w:val="Encabezado"/>
      <w:tabs>
        <w:tab w:val="clear" w:pos="4320"/>
        <w:tab w:val="clear" w:pos="8640"/>
      </w:tabs>
      <w:jc w:val="right"/>
      <w:rPr>
        <w:rFonts w:ascii="Arial Black" w:hAnsi="Arial Black"/>
        <w:b/>
        <w:color w:val="07BFBA"/>
      </w:rPr>
    </w:pPr>
    <w:r w:rsidRPr="007325AE">
      <w:rPr>
        <w:rFonts w:ascii="Arial Black" w:hAnsi="Arial Black"/>
        <w:b/>
        <w:noProof/>
        <w:color w:val="07BFBA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1454B621" wp14:editId="592587E6">
              <wp:simplePos x="0" y="0"/>
              <wp:positionH relativeFrom="column">
                <wp:posOffset>-720090</wp:posOffset>
              </wp:positionH>
              <wp:positionV relativeFrom="paragraph">
                <wp:posOffset>-180340</wp:posOffset>
              </wp:positionV>
              <wp:extent cx="7768590" cy="1227455"/>
              <wp:effectExtent l="0" t="0" r="3810" b="0"/>
              <wp:wrapNone/>
              <wp:docPr id="802304702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8590" cy="1227455"/>
                        <a:chOff x="0" y="0"/>
                        <a:chExt cx="7768590" cy="1227455"/>
                      </a:xfrm>
                    </wpg:grpSpPr>
                    <pic:pic xmlns:pic="http://schemas.openxmlformats.org/drawingml/2006/picture">
                      <pic:nvPicPr>
                        <pic:cNvPr id="410853002" name="Imagen 1" descr="Gráfico, Icon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8590" cy="1227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63354351" name="Imagen 27744500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04" b="1604"/>
                        <a:stretch>
                          <a:fillRect/>
                        </a:stretch>
                      </pic:blipFill>
                      <pic:spPr bwMode="auto">
                        <a:xfrm>
                          <a:off x="716890" y="460858"/>
                          <a:ext cx="1590675" cy="309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1008E1" id="Grupo 5" o:spid="_x0000_s1026" style="position:absolute;margin-left:-56.7pt;margin-top:-14.2pt;width:611.7pt;height:96.65pt;z-index:-251627520" coordsize="77685,1227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Gráfico, Icono&#10;&#10;Descripción generada automáticamente" style="position:absolute;width:77685;height:12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">
                <v:imagedata r:id="rId4" o:title="Gráfico, Icono&#10;&#10;Descripción generada automáticamente"/>
              </v:shape>
              <v:shape id="Imagen 277445007" o:spid="_x0000_s1028" type="#_x0000_t75" style="position:absolute;left:7168;top:4608;width:15907;height:3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">
                <v:imagedata r:id="rId5" o:title="" croptop="1051f" cropbottom="1051f"/>
              </v:shape>
            </v:group>
          </w:pict>
        </mc:Fallback>
      </mc:AlternateContent>
    </w:r>
    <w:r w:rsidR="009D653F" w:rsidRPr="007325AE">
      <w:rPr>
        <w:rFonts w:ascii="Arial Black" w:hAnsi="Arial Black"/>
        <w:b/>
        <w:color w:val="07BFBA"/>
      </w:rPr>
      <w:t>BOLETÍN DE INDICADOR</w:t>
    </w:r>
    <w:r w:rsidR="00AD44ED">
      <w:rPr>
        <w:rFonts w:ascii="Arial Black" w:hAnsi="Arial Black"/>
        <w:b/>
        <w:color w:val="07BFBA"/>
      </w:rPr>
      <w:t xml:space="preserve"> 31/25</w:t>
    </w:r>
  </w:p>
  <w:p w14:paraId="33E53F3E" w14:textId="77777777" w:rsidR="00311F8C" w:rsidRPr="007325AE" w:rsidRDefault="00311F8C" w:rsidP="00E84787">
    <w:pPr>
      <w:pStyle w:val="Encabezado"/>
      <w:tabs>
        <w:tab w:val="clear" w:pos="4320"/>
        <w:tab w:val="clear" w:pos="8640"/>
      </w:tabs>
      <w:spacing w:before="240"/>
      <w:jc w:val="right"/>
      <w:rPr>
        <w:b/>
        <w:bCs/>
        <w:noProof/>
        <w:color w:val="404040"/>
      </w:rPr>
    </w:pPr>
    <w:r w:rsidRPr="007325AE">
      <w:rPr>
        <w:b/>
        <w:bCs/>
        <w:noProof/>
        <w:color w:val="404040"/>
      </w:rPr>
      <w:t>INDICADOR TRIMESTRAL DE LA ACTIVIDAD</w:t>
    </w:r>
  </w:p>
  <w:p w14:paraId="54738DD5" w14:textId="7CB7FB38" w:rsidR="00C463BA" w:rsidRPr="007325AE" w:rsidRDefault="00311F8C" w:rsidP="00E84787">
    <w:pPr>
      <w:pStyle w:val="Encabezado"/>
      <w:tabs>
        <w:tab w:val="clear" w:pos="4320"/>
        <w:tab w:val="clear" w:pos="8640"/>
      </w:tabs>
      <w:jc w:val="right"/>
      <w:rPr>
        <w:b/>
        <w:color w:val="404040"/>
      </w:rPr>
    </w:pPr>
    <w:r w:rsidRPr="007325AE">
      <w:rPr>
        <w:b/>
        <w:bCs/>
        <w:noProof/>
        <w:color w:val="404040"/>
      </w:rPr>
      <w:t>ECONÓMICA ESTATAL (ITAEE)</w:t>
    </w:r>
  </w:p>
  <w:p w14:paraId="5B29BBFA" w14:textId="63A0BD58" w:rsidR="009D653F" w:rsidRPr="007325AE" w:rsidRDefault="007325AE" w:rsidP="00E84787">
    <w:pPr>
      <w:pStyle w:val="Encabezado"/>
      <w:tabs>
        <w:tab w:val="clear" w:pos="4320"/>
        <w:tab w:val="clear" w:pos="8640"/>
      </w:tabs>
      <w:jc w:val="right"/>
      <w:rPr>
        <w:bCs/>
        <w:color w:val="404040"/>
      </w:rPr>
    </w:pPr>
    <w:r>
      <w:rPr>
        <w:bCs/>
        <w:color w:val="404040"/>
      </w:rPr>
      <w:t>29 de enero</w:t>
    </w:r>
    <w:r w:rsidR="00C463BA" w:rsidRPr="007325AE">
      <w:rPr>
        <w:bCs/>
        <w:color w:val="404040"/>
      </w:rPr>
      <w:t xml:space="preserve"> </w:t>
    </w:r>
    <w:r w:rsidR="003E5CAB" w:rsidRPr="007325AE">
      <w:rPr>
        <w:bCs/>
        <w:color w:val="404040"/>
      </w:rPr>
      <w:t>de</w:t>
    </w:r>
    <w:r w:rsidR="009D653F" w:rsidRPr="007325AE">
      <w:rPr>
        <w:bCs/>
        <w:color w:val="404040"/>
      </w:rPr>
      <w:t xml:space="preserve"> 202</w:t>
    </w:r>
    <w:r>
      <w:rPr>
        <w:bCs/>
        <w:color w:val="404040"/>
      </w:rPr>
      <w:t>5</w:t>
    </w:r>
  </w:p>
  <w:p w14:paraId="0FAFFCC0" w14:textId="18F76BF7" w:rsidR="008A6791" w:rsidRPr="007325AE" w:rsidRDefault="009D653F" w:rsidP="008A6791">
    <w:pPr>
      <w:pStyle w:val="Encabezado"/>
      <w:tabs>
        <w:tab w:val="clear" w:pos="4320"/>
        <w:tab w:val="clear" w:pos="8640"/>
      </w:tabs>
      <w:jc w:val="right"/>
      <w:rPr>
        <w:bCs/>
        <w:color w:val="404040"/>
      </w:rPr>
    </w:pPr>
    <w:r w:rsidRPr="007325AE">
      <w:rPr>
        <w:bCs/>
        <w:color w:val="404040"/>
      </w:rPr>
      <w:t xml:space="preserve">Página </w:t>
    </w:r>
    <w:r w:rsidRPr="007325AE">
      <w:rPr>
        <w:bCs/>
        <w:color w:val="404040"/>
      </w:rPr>
      <w:fldChar w:fldCharType="begin"/>
    </w:r>
    <w:r w:rsidRPr="007325AE">
      <w:rPr>
        <w:bCs/>
        <w:color w:val="404040"/>
      </w:rPr>
      <w:instrText xml:space="preserve"> PAGE  \* Arabic </w:instrText>
    </w:r>
    <w:r w:rsidRPr="007325AE">
      <w:rPr>
        <w:bCs/>
        <w:color w:val="404040"/>
      </w:rPr>
      <w:fldChar w:fldCharType="separate"/>
    </w:r>
    <w:r w:rsidRPr="007325AE">
      <w:rPr>
        <w:bCs/>
        <w:color w:val="404040"/>
      </w:rPr>
      <w:t>1</w:t>
    </w:r>
    <w:r w:rsidRPr="007325AE">
      <w:rPr>
        <w:bCs/>
        <w:color w:val="404040"/>
      </w:rPr>
      <w:fldChar w:fldCharType="end"/>
    </w:r>
    <w:r w:rsidRPr="007325AE">
      <w:rPr>
        <w:bCs/>
        <w:color w:val="404040"/>
      </w:rPr>
      <w:t>/</w:t>
    </w:r>
    <w:r w:rsidR="0048518E" w:rsidRPr="007325AE">
      <w:rPr>
        <w:bCs/>
        <w:color w:val="404040"/>
      </w:rPr>
      <w:t>1</w:t>
    </w:r>
    <w:r w:rsidR="00174C27">
      <w:rPr>
        <w:bCs/>
        <w:color w:val="40404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2CCD" w14:textId="77777777" w:rsidR="00AD44ED" w:rsidRDefault="00AD44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0803B4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742F74"/>
    <w:multiLevelType w:val="hybridMultilevel"/>
    <w:tmpl w:val="48EC0FF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937386B"/>
    <w:multiLevelType w:val="hybridMultilevel"/>
    <w:tmpl w:val="357899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0DFE0BA8"/>
    <w:multiLevelType w:val="hybridMultilevel"/>
    <w:tmpl w:val="DAD020F4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24E721B"/>
    <w:multiLevelType w:val="hybridMultilevel"/>
    <w:tmpl w:val="95B6E4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03E05"/>
    <w:multiLevelType w:val="hybridMultilevel"/>
    <w:tmpl w:val="1BE8FD3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8E07E62"/>
    <w:multiLevelType w:val="hybridMultilevel"/>
    <w:tmpl w:val="A01859F8"/>
    <w:lvl w:ilvl="0" w:tplc="CCB83306">
      <w:start w:val="1"/>
      <w:numFmt w:val="upperRoman"/>
      <w:lvlText w:val="%1I."/>
      <w:lvlJc w:val="center"/>
      <w:pPr>
        <w:ind w:left="720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26BF303E"/>
    <w:multiLevelType w:val="hybridMultilevel"/>
    <w:tmpl w:val="C9DCB1F4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4" w15:restartNumberingAfterBreak="0">
    <w:nsid w:val="27576D76"/>
    <w:multiLevelType w:val="hybridMultilevel"/>
    <w:tmpl w:val="454CDCAA"/>
    <w:lvl w:ilvl="0" w:tplc="080A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5" w15:restartNumberingAfterBreak="0">
    <w:nsid w:val="2C8D6BF8"/>
    <w:multiLevelType w:val="hybridMultilevel"/>
    <w:tmpl w:val="C450D34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7E6A2F"/>
    <w:multiLevelType w:val="hybridMultilevel"/>
    <w:tmpl w:val="B33457E8"/>
    <w:lvl w:ilvl="0" w:tplc="D530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2931C1"/>
    <w:multiLevelType w:val="hybridMultilevel"/>
    <w:tmpl w:val="D04C7B3A"/>
    <w:lvl w:ilvl="0" w:tplc="FFFFFFFF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20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EFD2963"/>
    <w:multiLevelType w:val="hybridMultilevel"/>
    <w:tmpl w:val="D190F9D8"/>
    <w:lvl w:ilvl="0" w:tplc="FFFFFFFF">
      <w:start w:val="1"/>
      <w:numFmt w:val="bullet"/>
      <w:lvlText w:val=""/>
      <w:legacy w:legacy="1" w:legacySpace="0" w:legacyIndent="360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E03D6"/>
    <w:multiLevelType w:val="hybridMultilevel"/>
    <w:tmpl w:val="B9A0DBA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45440849"/>
    <w:multiLevelType w:val="hybridMultilevel"/>
    <w:tmpl w:val="EF80B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61592E"/>
    <w:multiLevelType w:val="hybridMultilevel"/>
    <w:tmpl w:val="683AD13C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3F0DA8"/>
    <w:multiLevelType w:val="hybridMultilevel"/>
    <w:tmpl w:val="C466FEE4"/>
    <w:lvl w:ilvl="0" w:tplc="2BEA138A">
      <w:start w:val="1"/>
      <w:numFmt w:val="upperRoman"/>
      <w:lvlText w:val="%1."/>
      <w:lvlJc w:val="center"/>
      <w:pPr>
        <w:ind w:left="1440" w:hanging="360"/>
      </w:pPr>
      <w:rPr>
        <w:rFonts w:ascii="Arial" w:hAnsi="Arial" w:hint="default"/>
        <w:b/>
        <w:bCs w:val="0"/>
        <w:i w:val="0"/>
        <w:sz w:val="26"/>
        <w:szCs w:val="26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5E36E8"/>
    <w:multiLevelType w:val="hybridMultilevel"/>
    <w:tmpl w:val="7C0C4F44"/>
    <w:lvl w:ilvl="0" w:tplc="32903B5A">
      <w:start w:val="1"/>
      <w:numFmt w:val="decimal"/>
      <w:lvlText w:val="%1"/>
      <w:lvlJc w:val="left"/>
      <w:pPr>
        <w:ind w:left="700" w:hanging="570"/>
      </w:pPr>
      <w:rPr>
        <w:rFonts w:hint="default"/>
        <w:vertAlign w:val="superscript"/>
      </w:rPr>
    </w:lvl>
    <w:lvl w:ilvl="1" w:tplc="080A0019" w:tentative="1">
      <w:start w:val="1"/>
      <w:numFmt w:val="lowerLetter"/>
      <w:lvlText w:val="%2."/>
      <w:lvlJc w:val="left"/>
      <w:pPr>
        <w:ind w:left="1210" w:hanging="360"/>
      </w:pPr>
    </w:lvl>
    <w:lvl w:ilvl="2" w:tplc="080A001B" w:tentative="1">
      <w:start w:val="1"/>
      <w:numFmt w:val="lowerRoman"/>
      <w:lvlText w:val="%3."/>
      <w:lvlJc w:val="right"/>
      <w:pPr>
        <w:ind w:left="1930" w:hanging="180"/>
      </w:pPr>
    </w:lvl>
    <w:lvl w:ilvl="3" w:tplc="080A000F" w:tentative="1">
      <w:start w:val="1"/>
      <w:numFmt w:val="decimal"/>
      <w:lvlText w:val="%4."/>
      <w:lvlJc w:val="left"/>
      <w:pPr>
        <w:ind w:left="2650" w:hanging="360"/>
      </w:pPr>
    </w:lvl>
    <w:lvl w:ilvl="4" w:tplc="080A0019" w:tentative="1">
      <w:start w:val="1"/>
      <w:numFmt w:val="lowerLetter"/>
      <w:lvlText w:val="%5."/>
      <w:lvlJc w:val="left"/>
      <w:pPr>
        <w:ind w:left="3370" w:hanging="360"/>
      </w:pPr>
    </w:lvl>
    <w:lvl w:ilvl="5" w:tplc="080A001B" w:tentative="1">
      <w:start w:val="1"/>
      <w:numFmt w:val="lowerRoman"/>
      <w:lvlText w:val="%6."/>
      <w:lvlJc w:val="right"/>
      <w:pPr>
        <w:ind w:left="4090" w:hanging="180"/>
      </w:pPr>
    </w:lvl>
    <w:lvl w:ilvl="6" w:tplc="080A000F" w:tentative="1">
      <w:start w:val="1"/>
      <w:numFmt w:val="decimal"/>
      <w:lvlText w:val="%7."/>
      <w:lvlJc w:val="left"/>
      <w:pPr>
        <w:ind w:left="4810" w:hanging="360"/>
      </w:pPr>
    </w:lvl>
    <w:lvl w:ilvl="7" w:tplc="080A0019" w:tentative="1">
      <w:start w:val="1"/>
      <w:numFmt w:val="lowerLetter"/>
      <w:lvlText w:val="%8."/>
      <w:lvlJc w:val="left"/>
      <w:pPr>
        <w:ind w:left="5530" w:hanging="360"/>
      </w:pPr>
    </w:lvl>
    <w:lvl w:ilvl="8" w:tplc="080A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9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B5D3E61"/>
    <w:multiLevelType w:val="hybridMultilevel"/>
    <w:tmpl w:val="7F94EAB0"/>
    <w:lvl w:ilvl="0" w:tplc="FEA24B6C">
      <w:start w:val="1"/>
      <w:numFmt w:val="upperRoman"/>
      <w:lvlText w:val="%1."/>
      <w:lvlJc w:val="center"/>
      <w:pPr>
        <w:ind w:left="1080" w:hanging="720"/>
      </w:pPr>
      <w:rPr>
        <w:rFonts w:ascii="Arial" w:hAnsi="Arial" w:hint="default"/>
        <w:b/>
        <w:bCs w:val="0"/>
        <w:i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B48E4"/>
    <w:multiLevelType w:val="hybridMultilevel"/>
    <w:tmpl w:val="0BA8674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45199D"/>
    <w:multiLevelType w:val="hybridMultilevel"/>
    <w:tmpl w:val="BBB47BDC"/>
    <w:lvl w:ilvl="0" w:tplc="7C007F2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82A59"/>
    <w:multiLevelType w:val="hybridMultilevel"/>
    <w:tmpl w:val="C34EFAD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36" w15:restartNumberingAfterBreak="0">
    <w:nsid w:val="6FB379B7"/>
    <w:multiLevelType w:val="hybridMultilevel"/>
    <w:tmpl w:val="70B6764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2643ECB"/>
    <w:multiLevelType w:val="hybridMultilevel"/>
    <w:tmpl w:val="C352B3A6"/>
    <w:lvl w:ilvl="0" w:tplc="81143F4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7B3D36FD"/>
    <w:multiLevelType w:val="hybridMultilevel"/>
    <w:tmpl w:val="B8A8B8C0"/>
    <w:lvl w:ilvl="0" w:tplc="80CA521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0" w15:restartNumberingAfterBreak="0">
    <w:nsid w:val="7ED50DBD"/>
    <w:multiLevelType w:val="hybridMultilevel"/>
    <w:tmpl w:val="57C210D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81094658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929894619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1399784963">
    <w:abstractNumId w:val="9"/>
  </w:num>
  <w:num w:numId="4" w16cid:durableId="342636439">
    <w:abstractNumId w:val="12"/>
  </w:num>
  <w:num w:numId="5" w16cid:durableId="183635469">
    <w:abstractNumId w:val="16"/>
  </w:num>
  <w:num w:numId="6" w16cid:durableId="1134955158">
    <w:abstractNumId w:val="6"/>
  </w:num>
  <w:num w:numId="7" w16cid:durableId="1409694789">
    <w:abstractNumId w:val="10"/>
  </w:num>
  <w:num w:numId="8" w16cid:durableId="179020192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214661980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1275402068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1574049537">
    <w:abstractNumId w:val="35"/>
  </w:num>
  <w:num w:numId="12" w16cid:durableId="1006903845">
    <w:abstractNumId w:val="39"/>
  </w:num>
  <w:num w:numId="13" w16cid:durableId="1837380934">
    <w:abstractNumId w:val="41"/>
  </w:num>
  <w:num w:numId="14" w16cid:durableId="244530762">
    <w:abstractNumId w:val="21"/>
  </w:num>
  <w:num w:numId="15" w16cid:durableId="853884109">
    <w:abstractNumId w:val="17"/>
  </w:num>
  <w:num w:numId="16" w16cid:durableId="1402023993">
    <w:abstractNumId w:val="29"/>
  </w:num>
  <w:num w:numId="17" w16cid:durableId="1596593957">
    <w:abstractNumId w:val="20"/>
  </w:num>
  <w:num w:numId="18" w16cid:durableId="1841851081">
    <w:abstractNumId w:val="27"/>
  </w:num>
  <w:num w:numId="19" w16cid:durableId="1896815982">
    <w:abstractNumId w:val="11"/>
  </w:num>
  <w:num w:numId="20" w16cid:durableId="1931036205">
    <w:abstractNumId w:val="0"/>
  </w:num>
  <w:num w:numId="21" w16cid:durableId="1024136314">
    <w:abstractNumId w:val="18"/>
  </w:num>
  <w:num w:numId="22" w16cid:durableId="735782815">
    <w:abstractNumId w:val="5"/>
  </w:num>
  <w:num w:numId="23" w16cid:durableId="1303459433">
    <w:abstractNumId w:val="23"/>
  </w:num>
  <w:num w:numId="24" w16cid:durableId="1036662141">
    <w:abstractNumId w:val="22"/>
  </w:num>
  <w:num w:numId="25" w16cid:durableId="1478835282">
    <w:abstractNumId w:val="31"/>
  </w:num>
  <w:num w:numId="26" w16cid:durableId="1899777076">
    <w:abstractNumId w:val="36"/>
  </w:num>
  <w:num w:numId="27" w16cid:durableId="898368160">
    <w:abstractNumId w:val="14"/>
  </w:num>
  <w:num w:numId="28" w16cid:durableId="895969903">
    <w:abstractNumId w:val="13"/>
  </w:num>
  <w:num w:numId="29" w16cid:durableId="847670419">
    <w:abstractNumId w:val="2"/>
  </w:num>
  <w:num w:numId="30" w16cid:durableId="638532938">
    <w:abstractNumId w:val="7"/>
  </w:num>
  <w:num w:numId="31" w16cid:durableId="2035962378">
    <w:abstractNumId w:val="24"/>
  </w:num>
  <w:num w:numId="32" w16cid:durableId="1262690454">
    <w:abstractNumId w:val="32"/>
  </w:num>
  <w:num w:numId="33" w16cid:durableId="1069420810">
    <w:abstractNumId w:val="3"/>
  </w:num>
  <w:num w:numId="34" w16cid:durableId="65618249">
    <w:abstractNumId w:val="40"/>
  </w:num>
  <w:num w:numId="35" w16cid:durableId="1740325805">
    <w:abstractNumId w:val="37"/>
  </w:num>
  <w:num w:numId="36" w16cid:durableId="1722288168">
    <w:abstractNumId w:val="4"/>
  </w:num>
  <w:num w:numId="37" w16cid:durableId="302197107">
    <w:abstractNumId w:val="34"/>
  </w:num>
  <w:num w:numId="38" w16cid:durableId="461969374">
    <w:abstractNumId w:val="19"/>
  </w:num>
  <w:num w:numId="39" w16cid:durableId="1892842944">
    <w:abstractNumId w:val="25"/>
  </w:num>
  <w:num w:numId="40" w16cid:durableId="929503071">
    <w:abstractNumId w:val="38"/>
  </w:num>
  <w:num w:numId="41" w16cid:durableId="637222073">
    <w:abstractNumId w:val="15"/>
  </w:num>
  <w:num w:numId="42" w16cid:durableId="375278304">
    <w:abstractNumId w:val="33"/>
  </w:num>
  <w:num w:numId="43" w16cid:durableId="1215122255">
    <w:abstractNumId w:val="30"/>
  </w:num>
  <w:num w:numId="44" w16cid:durableId="1972897860">
    <w:abstractNumId w:val="28"/>
  </w:num>
  <w:num w:numId="45" w16cid:durableId="468128432">
    <w:abstractNumId w:val="8"/>
  </w:num>
  <w:num w:numId="46" w16cid:durableId="11857145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7A"/>
    <w:rsid w:val="000001B0"/>
    <w:rsid w:val="0000043F"/>
    <w:rsid w:val="00000BEA"/>
    <w:rsid w:val="0000180F"/>
    <w:rsid w:val="00001FB3"/>
    <w:rsid w:val="00002466"/>
    <w:rsid w:val="00002605"/>
    <w:rsid w:val="00002665"/>
    <w:rsid w:val="000027BD"/>
    <w:rsid w:val="00002B26"/>
    <w:rsid w:val="00002FD9"/>
    <w:rsid w:val="00003B70"/>
    <w:rsid w:val="00003C25"/>
    <w:rsid w:val="00003C68"/>
    <w:rsid w:val="00004291"/>
    <w:rsid w:val="000042CB"/>
    <w:rsid w:val="0000458A"/>
    <w:rsid w:val="00004D58"/>
    <w:rsid w:val="000050C6"/>
    <w:rsid w:val="00005940"/>
    <w:rsid w:val="00005EB0"/>
    <w:rsid w:val="00006620"/>
    <w:rsid w:val="00006B5A"/>
    <w:rsid w:val="00006DE4"/>
    <w:rsid w:val="000076D4"/>
    <w:rsid w:val="000078B1"/>
    <w:rsid w:val="00007A1A"/>
    <w:rsid w:val="000100BE"/>
    <w:rsid w:val="00010A59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BF2"/>
    <w:rsid w:val="00013E55"/>
    <w:rsid w:val="0001447E"/>
    <w:rsid w:val="000144BA"/>
    <w:rsid w:val="000144ED"/>
    <w:rsid w:val="00014BA2"/>
    <w:rsid w:val="00014E1E"/>
    <w:rsid w:val="00014FBD"/>
    <w:rsid w:val="00015137"/>
    <w:rsid w:val="00015302"/>
    <w:rsid w:val="00015A5A"/>
    <w:rsid w:val="00016590"/>
    <w:rsid w:val="0001686F"/>
    <w:rsid w:val="00016B4E"/>
    <w:rsid w:val="00016CD6"/>
    <w:rsid w:val="00016D3A"/>
    <w:rsid w:val="00016EEA"/>
    <w:rsid w:val="0001718D"/>
    <w:rsid w:val="000176AC"/>
    <w:rsid w:val="00017B51"/>
    <w:rsid w:val="00017DF3"/>
    <w:rsid w:val="00020907"/>
    <w:rsid w:val="00020AF5"/>
    <w:rsid w:val="00021432"/>
    <w:rsid w:val="00021492"/>
    <w:rsid w:val="000216A3"/>
    <w:rsid w:val="00021926"/>
    <w:rsid w:val="0002195E"/>
    <w:rsid w:val="000219FC"/>
    <w:rsid w:val="00022563"/>
    <w:rsid w:val="000228C4"/>
    <w:rsid w:val="00022C2F"/>
    <w:rsid w:val="00022CA3"/>
    <w:rsid w:val="000260EE"/>
    <w:rsid w:val="00026698"/>
    <w:rsid w:val="0002696A"/>
    <w:rsid w:val="00026998"/>
    <w:rsid w:val="00026B3C"/>
    <w:rsid w:val="00026B52"/>
    <w:rsid w:val="00026F8D"/>
    <w:rsid w:val="000274DB"/>
    <w:rsid w:val="00027D1F"/>
    <w:rsid w:val="00027EBA"/>
    <w:rsid w:val="00030480"/>
    <w:rsid w:val="0003065F"/>
    <w:rsid w:val="000308BA"/>
    <w:rsid w:val="00030D10"/>
    <w:rsid w:val="00030F55"/>
    <w:rsid w:val="0003119F"/>
    <w:rsid w:val="00031231"/>
    <w:rsid w:val="000314D3"/>
    <w:rsid w:val="00031BCF"/>
    <w:rsid w:val="00031CEA"/>
    <w:rsid w:val="00031F45"/>
    <w:rsid w:val="000320C6"/>
    <w:rsid w:val="00032714"/>
    <w:rsid w:val="00032891"/>
    <w:rsid w:val="00032B16"/>
    <w:rsid w:val="00033603"/>
    <w:rsid w:val="00033A14"/>
    <w:rsid w:val="0003447A"/>
    <w:rsid w:val="00034BC3"/>
    <w:rsid w:val="000353F3"/>
    <w:rsid w:val="00035600"/>
    <w:rsid w:val="000357CC"/>
    <w:rsid w:val="00035991"/>
    <w:rsid w:val="00035B2D"/>
    <w:rsid w:val="00035DA7"/>
    <w:rsid w:val="00036196"/>
    <w:rsid w:val="00036599"/>
    <w:rsid w:val="00036D72"/>
    <w:rsid w:val="00037089"/>
    <w:rsid w:val="00037177"/>
    <w:rsid w:val="00037381"/>
    <w:rsid w:val="00037CC4"/>
    <w:rsid w:val="0004066E"/>
    <w:rsid w:val="00040766"/>
    <w:rsid w:val="00040F75"/>
    <w:rsid w:val="00041E29"/>
    <w:rsid w:val="00041FF7"/>
    <w:rsid w:val="0004225C"/>
    <w:rsid w:val="00042A47"/>
    <w:rsid w:val="00042E89"/>
    <w:rsid w:val="00043535"/>
    <w:rsid w:val="00043B32"/>
    <w:rsid w:val="00043E2B"/>
    <w:rsid w:val="00044296"/>
    <w:rsid w:val="00044699"/>
    <w:rsid w:val="00044700"/>
    <w:rsid w:val="00044C5E"/>
    <w:rsid w:val="00044F7F"/>
    <w:rsid w:val="00044FA9"/>
    <w:rsid w:val="0004500F"/>
    <w:rsid w:val="000450E9"/>
    <w:rsid w:val="0004529C"/>
    <w:rsid w:val="0004596A"/>
    <w:rsid w:val="00045AF1"/>
    <w:rsid w:val="00045C6D"/>
    <w:rsid w:val="00045D18"/>
    <w:rsid w:val="00045E9B"/>
    <w:rsid w:val="00046139"/>
    <w:rsid w:val="000465BF"/>
    <w:rsid w:val="00046822"/>
    <w:rsid w:val="00046AB6"/>
    <w:rsid w:val="00046BB5"/>
    <w:rsid w:val="00046D06"/>
    <w:rsid w:val="000471CD"/>
    <w:rsid w:val="0004735D"/>
    <w:rsid w:val="000473EC"/>
    <w:rsid w:val="0004744D"/>
    <w:rsid w:val="0004777C"/>
    <w:rsid w:val="000501E0"/>
    <w:rsid w:val="000507D2"/>
    <w:rsid w:val="00050934"/>
    <w:rsid w:val="00050FB5"/>
    <w:rsid w:val="00051C72"/>
    <w:rsid w:val="00051D1C"/>
    <w:rsid w:val="00051D9E"/>
    <w:rsid w:val="00052784"/>
    <w:rsid w:val="00052F04"/>
    <w:rsid w:val="00052F1E"/>
    <w:rsid w:val="00053606"/>
    <w:rsid w:val="000536D2"/>
    <w:rsid w:val="00053B2C"/>
    <w:rsid w:val="00053D27"/>
    <w:rsid w:val="00053EB7"/>
    <w:rsid w:val="00053FEE"/>
    <w:rsid w:val="00054A4F"/>
    <w:rsid w:val="00054BE5"/>
    <w:rsid w:val="00055047"/>
    <w:rsid w:val="00055B54"/>
    <w:rsid w:val="00056182"/>
    <w:rsid w:val="0005680F"/>
    <w:rsid w:val="00056F51"/>
    <w:rsid w:val="000573F5"/>
    <w:rsid w:val="00057F37"/>
    <w:rsid w:val="000602B0"/>
    <w:rsid w:val="0006045B"/>
    <w:rsid w:val="0006056C"/>
    <w:rsid w:val="0006228A"/>
    <w:rsid w:val="00063614"/>
    <w:rsid w:val="00063838"/>
    <w:rsid w:val="00063F45"/>
    <w:rsid w:val="0006433F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155"/>
    <w:rsid w:val="0006634F"/>
    <w:rsid w:val="00066638"/>
    <w:rsid w:val="00066EA7"/>
    <w:rsid w:val="00066F41"/>
    <w:rsid w:val="00067112"/>
    <w:rsid w:val="0006782D"/>
    <w:rsid w:val="00067D76"/>
    <w:rsid w:val="00067FCA"/>
    <w:rsid w:val="0007012A"/>
    <w:rsid w:val="0007017F"/>
    <w:rsid w:val="00070431"/>
    <w:rsid w:val="00070669"/>
    <w:rsid w:val="000707FF"/>
    <w:rsid w:val="00070864"/>
    <w:rsid w:val="00070B8C"/>
    <w:rsid w:val="0007134A"/>
    <w:rsid w:val="0007145A"/>
    <w:rsid w:val="00071F0D"/>
    <w:rsid w:val="00071F33"/>
    <w:rsid w:val="000725AC"/>
    <w:rsid w:val="00072B18"/>
    <w:rsid w:val="000730F3"/>
    <w:rsid w:val="00073491"/>
    <w:rsid w:val="000739D2"/>
    <w:rsid w:val="00073E58"/>
    <w:rsid w:val="00073EF4"/>
    <w:rsid w:val="000748B1"/>
    <w:rsid w:val="000753EC"/>
    <w:rsid w:val="0007567F"/>
    <w:rsid w:val="00075B3A"/>
    <w:rsid w:val="00075DEC"/>
    <w:rsid w:val="00076234"/>
    <w:rsid w:val="000767F7"/>
    <w:rsid w:val="00076EE9"/>
    <w:rsid w:val="00077545"/>
    <w:rsid w:val="00077763"/>
    <w:rsid w:val="00077C46"/>
    <w:rsid w:val="00077ECE"/>
    <w:rsid w:val="0008027F"/>
    <w:rsid w:val="0008084D"/>
    <w:rsid w:val="000809B5"/>
    <w:rsid w:val="00080D54"/>
    <w:rsid w:val="00080DC3"/>
    <w:rsid w:val="00081417"/>
    <w:rsid w:val="000814ED"/>
    <w:rsid w:val="0008175A"/>
    <w:rsid w:val="0008195B"/>
    <w:rsid w:val="0008254D"/>
    <w:rsid w:val="000826F7"/>
    <w:rsid w:val="00082AE3"/>
    <w:rsid w:val="00082F11"/>
    <w:rsid w:val="0008325D"/>
    <w:rsid w:val="000834DD"/>
    <w:rsid w:val="000834F9"/>
    <w:rsid w:val="000838EB"/>
    <w:rsid w:val="00083FB5"/>
    <w:rsid w:val="000843D7"/>
    <w:rsid w:val="00084687"/>
    <w:rsid w:val="00084A57"/>
    <w:rsid w:val="00084B97"/>
    <w:rsid w:val="00084BED"/>
    <w:rsid w:val="00084EDB"/>
    <w:rsid w:val="00084FF2"/>
    <w:rsid w:val="000850FA"/>
    <w:rsid w:val="0008524D"/>
    <w:rsid w:val="000856E9"/>
    <w:rsid w:val="000857E4"/>
    <w:rsid w:val="00085CF4"/>
    <w:rsid w:val="00085F5E"/>
    <w:rsid w:val="00086295"/>
    <w:rsid w:val="00086EDE"/>
    <w:rsid w:val="0008756B"/>
    <w:rsid w:val="00087CFE"/>
    <w:rsid w:val="00087DB7"/>
    <w:rsid w:val="0009025D"/>
    <w:rsid w:val="00090B52"/>
    <w:rsid w:val="00090B9C"/>
    <w:rsid w:val="00090D7B"/>
    <w:rsid w:val="00090E7C"/>
    <w:rsid w:val="00091474"/>
    <w:rsid w:val="000915F7"/>
    <w:rsid w:val="00091EEF"/>
    <w:rsid w:val="00092764"/>
    <w:rsid w:val="0009292F"/>
    <w:rsid w:val="00092C02"/>
    <w:rsid w:val="00092F4C"/>
    <w:rsid w:val="000939F8"/>
    <w:rsid w:val="0009421A"/>
    <w:rsid w:val="00094496"/>
    <w:rsid w:val="000950E7"/>
    <w:rsid w:val="00095360"/>
    <w:rsid w:val="00095361"/>
    <w:rsid w:val="000954A2"/>
    <w:rsid w:val="000955AA"/>
    <w:rsid w:val="00095781"/>
    <w:rsid w:val="000957BC"/>
    <w:rsid w:val="00095A6A"/>
    <w:rsid w:val="00095BAC"/>
    <w:rsid w:val="00095EA0"/>
    <w:rsid w:val="00096737"/>
    <w:rsid w:val="00096F5B"/>
    <w:rsid w:val="00097AEA"/>
    <w:rsid w:val="00097C0A"/>
    <w:rsid w:val="00097C29"/>
    <w:rsid w:val="00097C41"/>
    <w:rsid w:val="00097FE0"/>
    <w:rsid w:val="000A0344"/>
    <w:rsid w:val="000A0823"/>
    <w:rsid w:val="000A0EF3"/>
    <w:rsid w:val="000A1E7C"/>
    <w:rsid w:val="000A1F9D"/>
    <w:rsid w:val="000A21D6"/>
    <w:rsid w:val="000A260D"/>
    <w:rsid w:val="000A2F4F"/>
    <w:rsid w:val="000A31EF"/>
    <w:rsid w:val="000A3354"/>
    <w:rsid w:val="000A3733"/>
    <w:rsid w:val="000A43B0"/>
    <w:rsid w:val="000A45F0"/>
    <w:rsid w:val="000A4880"/>
    <w:rsid w:val="000A4D4C"/>
    <w:rsid w:val="000A4FEA"/>
    <w:rsid w:val="000A53E6"/>
    <w:rsid w:val="000A5727"/>
    <w:rsid w:val="000A574B"/>
    <w:rsid w:val="000A5B04"/>
    <w:rsid w:val="000A5E2A"/>
    <w:rsid w:val="000A614E"/>
    <w:rsid w:val="000A61D5"/>
    <w:rsid w:val="000A6416"/>
    <w:rsid w:val="000A643B"/>
    <w:rsid w:val="000A682B"/>
    <w:rsid w:val="000A707A"/>
    <w:rsid w:val="000A78BA"/>
    <w:rsid w:val="000A7BB9"/>
    <w:rsid w:val="000B0710"/>
    <w:rsid w:val="000B0E46"/>
    <w:rsid w:val="000B1790"/>
    <w:rsid w:val="000B1C11"/>
    <w:rsid w:val="000B1D13"/>
    <w:rsid w:val="000B29B8"/>
    <w:rsid w:val="000B2A27"/>
    <w:rsid w:val="000B380F"/>
    <w:rsid w:val="000B3BFC"/>
    <w:rsid w:val="000B4292"/>
    <w:rsid w:val="000B4A6A"/>
    <w:rsid w:val="000B50FB"/>
    <w:rsid w:val="000B515D"/>
    <w:rsid w:val="000B5587"/>
    <w:rsid w:val="000B5A74"/>
    <w:rsid w:val="000B5C4E"/>
    <w:rsid w:val="000B5FA3"/>
    <w:rsid w:val="000B6AF6"/>
    <w:rsid w:val="000B7FF2"/>
    <w:rsid w:val="000C1051"/>
    <w:rsid w:val="000C1F04"/>
    <w:rsid w:val="000C2892"/>
    <w:rsid w:val="000C2B3C"/>
    <w:rsid w:val="000C2D4D"/>
    <w:rsid w:val="000C305A"/>
    <w:rsid w:val="000C30D7"/>
    <w:rsid w:val="000C3105"/>
    <w:rsid w:val="000C34DD"/>
    <w:rsid w:val="000C37BC"/>
    <w:rsid w:val="000C3B6E"/>
    <w:rsid w:val="000C482F"/>
    <w:rsid w:val="000C4992"/>
    <w:rsid w:val="000C4FA1"/>
    <w:rsid w:val="000C5299"/>
    <w:rsid w:val="000C5468"/>
    <w:rsid w:val="000C55CC"/>
    <w:rsid w:val="000C5852"/>
    <w:rsid w:val="000C5D0E"/>
    <w:rsid w:val="000C6081"/>
    <w:rsid w:val="000C60C9"/>
    <w:rsid w:val="000C6A4A"/>
    <w:rsid w:val="000C6AFD"/>
    <w:rsid w:val="000C702C"/>
    <w:rsid w:val="000C725F"/>
    <w:rsid w:val="000D06FA"/>
    <w:rsid w:val="000D0B60"/>
    <w:rsid w:val="000D0DDA"/>
    <w:rsid w:val="000D0ED5"/>
    <w:rsid w:val="000D113E"/>
    <w:rsid w:val="000D1169"/>
    <w:rsid w:val="000D15C5"/>
    <w:rsid w:val="000D1687"/>
    <w:rsid w:val="000D1DAF"/>
    <w:rsid w:val="000D1DF4"/>
    <w:rsid w:val="000D28A5"/>
    <w:rsid w:val="000D2CD8"/>
    <w:rsid w:val="000D31C1"/>
    <w:rsid w:val="000D36B2"/>
    <w:rsid w:val="000D36BF"/>
    <w:rsid w:val="000D39FD"/>
    <w:rsid w:val="000D3E10"/>
    <w:rsid w:val="000D4833"/>
    <w:rsid w:val="000D49D2"/>
    <w:rsid w:val="000D4A88"/>
    <w:rsid w:val="000D4BBC"/>
    <w:rsid w:val="000D4D90"/>
    <w:rsid w:val="000D4E26"/>
    <w:rsid w:val="000D4F00"/>
    <w:rsid w:val="000D5000"/>
    <w:rsid w:val="000D5176"/>
    <w:rsid w:val="000D5EDB"/>
    <w:rsid w:val="000D6C0F"/>
    <w:rsid w:val="000D6F1E"/>
    <w:rsid w:val="000D7A95"/>
    <w:rsid w:val="000D7BBD"/>
    <w:rsid w:val="000E039A"/>
    <w:rsid w:val="000E03C0"/>
    <w:rsid w:val="000E0654"/>
    <w:rsid w:val="000E13AF"/>
    <w:rsid w:val="000E19B3"/>
    <w:rsid w:val="000E1CA2"/>
    <w:rsid w:val="000E28E2"/>
    <w:rsid w:val="000E2970"/>
    <w:rsid w:val="000E2B40"/>
    <w:rsid w:val="000E35A3"/>
    <w:rsid w:val="000E369A"/>
    <w:rsid w:val="000E3CC1"/>
    <w:rsid w:val="000E49B2"/>
    <w:rsid w:val="000E5331"/>
    <w:rsid w:val="000E535E"/>
    <w:rsid w:val="000E5526"/>
    <w:rsid w:val="000E59FC"/>
    <w:rsid w:val="000E5A5A"/>
    <w:rsid w:val="000E5D6B"/>
    <w:rsid w:val="000E5FE0"/>
    <w:rsid w:val="000E62A5"/>
    <w:rsid w:val="000E62DF"/>
    <w:rsid w:val="000E6D5D"/>
    <w:rsid w:val="000E7168"/>
    <w:rsid w:val="000E7575"/>
    <w:rsid w:val="000E7AB0"/>
    <w:rsid w:val="000F04CC"/>
    <w:rsid w:val="000F05D5"/>
    <w:rsid w:val="000F1DEB"/>
    <w:rsid w:val="000F1F7A"/>
    <w:rsid w:val="000F202E"/>
    <w:rsid w:val="000F3025"/>
    <w:rsid w:val="000F3491"/>
    <w:rsid w:val="000F3986"/>
    <w:rsid w:val="000F3C45"/>
    <w:rsid w:val="000F3DE6"/>
    <w:rsid w:val="000F448C"/>
    <w:rsid w:val="000F44E7"/>
    <w:rsid w:val="000F49F1"/>
    <w:rsid w:val="000F4A5C"/>
    <w:rsid w:val="000F4C41"/>
    <w:rsid w:val="000F4FA7"/>
    <w:rsid w:val="000F50B5"/>
    <w:rsid w:val="000F52D1"/>
    <w:rsid w:val="000F536A"/>
    <w:rsid w:val="000F541D"/>
    <w:rsid w:val="000F5AD1"/>
    <w:rsid w:val="000F5C8B"/>
    <w:rsid w:val="000F64D7"/>
    <w:rsid w:val="000F69FA"/>
    <w:rsid w:val="000F7577"/>
    <w:rsid w:val="000F7974"/>
    <w:rsid w:val="000F7ECD"/>
    <w:rsid w:val="000F7F0E"/>
    <w:rsid w:val="000F7F38"/>
    <w:rsid w:val="000F7FB5"/>
    <w:rsid w:val="00100317"/>
    <w:rsid w:val="001004C1"/>
    <w:rsid w:val="001004EE"/>
    <w:rsid w:val="001011EC"/>
    <w:rsid w:val="001017C1"/>
    <w:rsid w:val="00101A86"/>
    <w:rsid w:val="00101E92"/>
    <w:rsid w:val="00101F40"/>
    <w:rsid w:val="00102298"/>
    <w:rsid w:val="00102C79"/>
    <w:rsid w:val="00102EC2"/>
    <w:rsid w:val="00103847"/>
    <w:rsid w:val="00103913"/>
    <w:rsid w:val="00105234"/>
    <w:rsid w:val="00105316"/>
    <w:rsid w:val="001057E1"/>
    <w:rsid w:val="00105E16"/>
    <w:rsid w:val="00105E2B"/>
    <w:rsid w:val="0010619C"/>
    <w:rsid w:val="0010664D"/>
    <w:rsid w:val="00106A20"/>
    <w:rsid w:val="00106D16"/>
    <w:rsid w:val="00107B62"/>
    <w:rsid w:val="00110510"/>
    <w:rsid w:val="0011076D"/>
    <w:rsid w:val="00110DB1"/>
    <w:rsid w:val="00110DF0"/>
    <w:rsid w:val="0011149E"/>
    <w:rsid w:val="001114D0"/>
    <w:rsid w:val="00111703"/>
    <w:rsid w:val="001119D9"/>
    <w:rsid w:val="00111AA3"/>
    <w:rsid w:val="00111F29"/>
    <w:rsid w:val="00111F40"/>
    <w:rsid w:val="00112688"/>
    <w:rsid w:val="00113348"/>
    <w:rsid w:val="00113404"/>
    <w:rsid w:val="001134B4"/>
    <w:rsid w:val="001139FD"/>
    <w:rsid w:val="00113D35"/>
    <w:rsid w:val="00113DE8"/>
    <w:rsid w:val="0011424C"/>
    <w:rsid w:val="001145D7"/>
    <w:rsid w:val="0011478A"/>
    <w:rsid w:val="001149C9"/>
    <w:rsid w:val="00114B56"/>
    <w:rsid w:val="00114B96"/>
    <w:rsid w:val="00114E47"/>
    <w:rsid w:val="00115123"/>
    <w:rsid w:val="00115A20"/>
    <w:rsid w:val="00115F66"/>
    <w:rsid w:val="00116647"/>
    <w:rsid w:val="00116A85"/>
    <w:rsid w:val="00116CA9"/>
    <w:rsid w:val="00116F84"/>
    <w:rsid w:val="00117471"/>
    <w:rsid w:val="00117BB9"/>
    <w:rsid w:val="00117D38"/>
    <w:rsid w:val="00117D7A"/>
    <w:rsid w:val="00120112"/>
    <w:rsid w:val="001201B0"/>
    <w:rsid w:val="00120EA1"/>
    <w:rsid w:val="00121789"/>
    <w:rsid w:val="0012181E"/>
    <w:rsid w:val="00121E0C"/>
    <w:rsid w:val="00122048"/>
    <w:rsid w:val="001228A0"/>
    <w:rsid w:val="00122B7D"/>
    <w:rsid w:val="00122DEA"/>
    <w:rsid w:val="00123C48"/>
    <w:rsid w:val="00123EFF"/>
    <w:rsid w:val="001241F7"/>
    <w:rsid w:val="00124712"/>
    <w:rsid w:val="00124D1A"/>
    <w:rsid w:val="001251AF"/>
    <w:rsid w:val="0012523B"/>
    <w:rsid w:val="0012554D"/>
    <w:rsid w:val="00125654"/>
    <w:rsid w:val="00125974"/>
    <w:rsid w:val="00125D0D"/>
    <w:rsid w:val="00125D9D"/>
    <w:rsid w:val="00125DC1"/>
    <w:rsid w:val="001263E8"/>
    <w:rsid w:val="00127810"/>
    <w:rsid w:val="0012798A"/>
    <w:rsid w:val="00130036"/>
    <w:rsid w:val="001300A8"/>
    <w:rsid w:val="001301E6"/>
    <w:rsid w:val="001304F2"/>
    <w:rsid w:val="00130C4C"/>
    <w:rsid w:val="00130F93"/>
    <w:rsid w:val="00131198"/>
    <w:rsid w:val="001313EB"/>
    <w:rsid w:val="00131CCF"/>
    <w:rsid w:val="00131E80"/>
    <w:rsid w:val="0013222E"/>
    <w:rsid w:val="001322B2"/>
    <w:rsid w:val="001328D2"/>
    <w:rsid w:val="00133CE6"/>
    <w:rsid w:val="001345C4"/>
    <w:rsid w:val="00134904"/>
    <w:rsid w:val="001349AB"/>
    <w:rsid w:val="00134F4E"/>
    <w:rsid w:val="00134FB0"/>
    <w:rsid w:val="001350AC"/>
    <w:rsid w:val="001352EC"/>
    <w:rsid w:val="0013543B"/>
    <w:rsid w:val="00135A2E"/>
    <w:rsid w:val="00135E0B"/>
    <w:rsid w:val="001361A8"/>
    <w:rsid w:val="001362EC"/>
    <w:rsid w:val="001365A5"/>
    <w:rsid w:val="001368CC"/>
    <w:rsid w:val="00136AB1"/>
    <w:rsid w:val="001372CA"/>
    <w:rsid w:val="00137AFD"/>
    <w:rsid w:val="00137EBB"/>
    <w:rsid w:val="0014012A"/>
    <w:rsid w:val="001405D6"/>
    <w:rsid w:val="00140AD8"/>
    <w:rsid w:val="00140BE4"/>
    <w:rsid w:val="00141130"/>
    <w:rsid w:val="001411DE"/>
    <w:rsid w:val="00141399"/>
    <w:rsid w:val="00141962"/>
    <w:rsid w:val="00141A0B"/>
    <w:rsid w:val="00141AF4"/>
    <w:rsid w:val="00141F00"/>
    <w:rsid w:val="00142241"/>
    <w:rsid w:val="00142E09"/>
    <w:rsid w:val="0014377B"/>
    <w:rsid w:val="00143D3A"/>
    <w:rsid w:val="00144D09"/>
    <w:rsid w:val="0014542A"/>
    <w:rsid w:val="00145808"/>
    <w:rsid w:val="00145F65"/>
    <w:rsid w:val="001460E0"/>
    <w:rsid w:val="00146902"/>
    <w:rsid w:val="00146DFA"/>
    <w:rsid w:val="00147068"/>
    <w:rsid w:val="00147B68"/>
    <w:rsid w:val="00147BB3"/>
    <w:rsid w:val="0015018D"/>
    <w:rsid w:val="00150228"/>
    <w:rsid w:val="001502C3"/>
    <w:rsid w:val="001504E8"/>
    <w:rsid w:val="00150536"/>
    <w:rsid w:val="00151ADE"/>
    <w:rsid w:val="00152D63"/>
    <w:rsid w:val="00152DCD"/>
    <w:rsid w:val="001533B2"/>
    <w:rsid w:val="001534CA"/>
    <w:rsid w:val="0015369A"/>
    <w:rsid w:val="0015386A"/>
    <w:rsid w:val="00153E85"/>
    <w:rsid w:val="001540F9"/>
    <w:rsid w:val="00154E90"/>
    <w:rsid w:val="001553D8"/>
    <w:rsid w:val="001557A9"/>
    <w:rsid w:val="00155878"/>
    <w:rsid w:val="0015599D"/>
    <w:rsid w:val="00155A36"/>
    <w:rsid w:val="0015694E"/>
    <w:rsid w:val="001569A5"/>
    <w:rsid w:val="001572AC"/>
    <w:rsid w:val="001573F1"/>
    <w:rsid w:val="0015755C"/>
    <w:rsid w:val="001600C9"/>
    <w:rsid w:val="00160308"/>
    <w:rsid w:val="001604E1"/>
    <w:rsid w:val="0016052B"/>
    <w:rsid w:val="00160957"/>
    <w:rsid w:val="00160B56"/>
    <w:rsid w:val="0016159C"/>
    <w:rsid w:val="00161833"/>
    <w:rsid w:val="00161E62"/>
    <w:rsid w:val="00161F05"/>
    <w:rsid w:val="00162797"/>
    <w:rsid w:val="00162A20"/>
    <w:rsid w:val="00162C49"/>
    <w:rsid w:val="00163025"/>
    <w:rsid w:val="00163515"/>
    <w:rsid w:val="0016370B"/>
    <w:rsid w:val="0016487E"/>
    <w:rsid w:val="00164CD1"/>
    <w:rsid w:val="0016528B"/>
    <w:rsid w:val="001655BD"/>
    <w:rsid w:val="00165810"/>
    <w:rsid w:val="00165A24"/>
    <w:rsid w:val="00165E36"/>
    <w:rsid w:val="0016614B"/>
    <w:rsid w:val="001665FD"/>
    <w:rsid w:val="0016686D"/>
    <w:rsid w:val="00166D6D"/>
    <w:rsid w:val="00167104"/>
    <w:rsid w:val="00167A72"/>
    <w:rsid w:val="0017080F"/>
    <w:rsid w:val="00170972"/>
    <w:rsid w:val="00170BD4"/>
    <w:rsid w:val="001711E3"/>
    <w:rsid w:val="00171F36"/>
    <w:rsid w:val="00172464"/>
    <w:rsid w:val="00172600"/>
    <w:rsid w:val="00172614"/>
    <w:rsid w:val="00172672"/>
    <w:rsid w:val="00172AA4"/>
    <w:rsid w:val="0017308E"/>
    <w:rsid w:val="00173309"/>
    <w:rsid w:val="0017357E"/>
    <w:rsid w:val="001735A8"/>
    <w:rsid w:val="00173881"/>
    <w:rsid w:val="001740E5"/>
    <w:rsid w:val="001741F4"/>
    <w:rsid w:val="00174587"/>
    <w:rsid w:val="0017474C"/>
    <w:rsid w:val="00174783"/>
    <w:rsid w:val="00174C27"/>
    <w:rsid w:val="00175CF4"/>
    <w:rsid w:val="001763FA"/>
    <w:rsid w:val="001763FC"/>
    <w:rsid w:val="00176592"/>
    <w:rsid w:val="001768FD"/>
    <w:rsid w:val="0017695A"/>
    <w:rsid w:val="00176A27"/>
    <w:rsid w:val="00176A60"/>
    <w:rsid w:val="00176B20"/>
    <w:rsid w:val="00176E7D"/>
    <w:rsid w:val="00177026"/>
    <w:rsid w:val="00177187"/>
    <w:rsid w:val="001773BC"/>
    <w:rsid w:val="001774E6"/>
    <w:rsid w:val="00177F98"/>
    <w:rsid w:val="00180887"/>
    <w:rsid w:val="00180A83"/>
    <w:rsid w:val="00180D65"/>
    <w:rsid w:val="001813AB"/>
    <w:rsid w:val="001819C6"/>
    <w:rsid w:val="00181B78"/>
    <w:rsid w:val="0018211C"/>
    <w:rsid w:val="001821F8"/>
    <w:rsid w:val="0018246A"/>
    <w:rsid w:val="00182CBE"/>
    <w:rsid w:val="00182EBE"/>
    <w:rsid w:val="001831B3"/>
    <w:rsid w:val="0018334A"/>
    <w:rsid w:val="0018396A"/>
    <w:rsid w:val="0018452A"/>
    <w:rsid w:val="001845FA"/>
    <w:rsid w:val="0018521A"/>
    <w:rsid w:val="0018522B"/>
    <w:rsid w:val="00185425"/>
    <w:rsid w:val="00185457"/>
    <w:rsid w:val="001854A8"/>
    <w:rsid w:val="001854BC"/>
    <w:rsid w:val="00185D40"/>
    <w:rsid w:val="00186C17"/>
    <w:rsid w:val="00187284"/>
    <w:rsid w:val="0018761A"/>
    <w:rsid w:val="0018787A"/>
    <w:rsid w:val="00187A73"/>
    <w:rsid w:val="00187FD1"/>
    <w:rsid w:val="00190180"/>
    <w:rsid w:val="001908C1"/>
    <w:rsid w:val="00190A43"/>
    <w:rsid w:val="00190D0B"/>
    <w:rsid w:val="001912FB"/>
    <w:rsid w:val="00191608"/>
    <w:rsid w:val="00191664"/>
    <w:rsid w:val="00192065"/>
    <w:rsid w:val="001923D9"/>
    <w:rsid w:val="00194085"/>
    <w:rsid w:val="001941AA"/>
    <w:rsid w:val="00194F73"/>
    <w:rsid w:val="001951D5"/>
    <w:rsid w:val="00195EC2"/>
    <w:rsid w:val="00195F99"/>
    <w:rsid w:val="00196BF1"/>
    <w:rsid w:val="00197041"/>
    <w:rsid w:val="001A016C"/>
    <w:rsid w:val="001A0422"/>
    <w:rsid w:val="001A0BEE"/>
    <w:rsid w:val="001A0FF5"/>
    <w:rsid w:val="001A102F"/>
    <w:rsid w:val="001A1A27"/>
    <w:rsid w:val="001A1A61"/>
    <w:rsid w:val="001A1ED0"/>
    <w:rsid w:val="001A1EFA"/>
    <w:rsid w:val="001A1FAC"/>
    <w:rsid w:val="001A1FC1"/>
    <w:rsid w:val="001A27EE"/>
    <w:rsid w:val="001A35A6"/>
    <w:rsid w:val="001A368A"/>
    <w:rsid w:val="001A3963"/>
    <w:rsid w:val="001A3BD3"/>
    <w:rsid w:val="001A41DF"/>
    <w:rsid w:val="001A43F5"/>
    <w:rsid w:val="001A4B66"/>
    <w:rsid w:val="001A4CA5"/>
    <w:rsid w:val="001A4E0E"/>
    <w:rsid w:val="001A4E8C"/>
    <w:rsid w:val="001A4EF7"/>
    <w:rsid w:val="001A4F6E"/>
    <w:rsid w:val="001A52E1"/>
    <w:rsid w:val="001A5A21"/>
    <w:rsid w:val="001A5A62"/>
    <w:rsid w:val="001A5ABD"/>
    <w:rsid w:val="001A5CE0"/>
    <w:rsid w:val="001A5CF7"/>
    <w:rsid w:val="001A60E2"/>
    <w:rsid w:val="001A69F0"/>
    <w:rsid w:val="001A75E7"/>
    <w:rsid w:val="001A79AA"/>
    <w:rsid w:val="001A7ACF"/>
    <w:rsid w:val="001A7C06"/>
    <w:rsid w:val="001A7C3B"/>
    <w:rsid w:val="001A7F95"/>
    <w:rsid w:val="001B07B0"/>
    <w:rsid w:val="001B0992"/>
    <w:rsid w:val="001B0AC4"/>
    <w:rsid w:val="001B0E89"/>
    <w:rsid w:val="001B109A"/>
    <w:rsid w:val="001B1120"/>
    <w:rsid w:val="001B15E2"/>
    <w:rsid w:val="001B163A"/>
    <w:rsid w:val="001B22AA"/>
    <w:rsid w:val="001B253D"/>
    <w:rsid w:val="001B277C"/>
    <w:rsid w:val="001B277F"/>
    <w:rsid w:val="001B2A81"/>
    <w:rsid w:val="001B2C6A"/>
    <w:rsid w:val="001B2F19"/>
    <w:rsid w:val="001B35B2"/>
    <w:rsid w:val="001B35ED"/>
    <w:rsid w:val="001B3634"/>
    <w:rsid w:val="001B369D"/>
    <w:rsid w:val="001B4355"/>
    <w:rsid w:val="001B450E"/>
    <w:rsid w:val="001B46DB"/>
    <w:rsid w:val="001B4F75"/>
    <w:rsid w:val="001B517A"/>
    <w:rsid w:val="001B5246"/>
    <w:rsid w:val="001B5DDB"/>
    <w:rsid w:val="001B62D3"/>
    <w:rsid w:val="001B6315"/>
    <w:rsid w:val="001B6640"/>
    <w:rsid w:val="001B7087"/>
    <w:rsid w:val="001B74F4"/>
    <w:rsid w:val="001B75DC"/>
    <w:rsid w:val="001B7B83"/>
    <w:rsid w:val="001C0136"/>
    <w:rsid w:val="001C0A10"/>
    <w:rsid w:val="001C0A6E"/>
    <w:rsid w:val="001C0AD1"/>
    <w:rsid w:val="001C0BCC"/>
    <w:rsid w:val="001C105D"/>
    <w:rsid w:val="001C117D"/>
    <w:rsid w:val="001C120F"/>
    <w:rsid w:val="001C151F"/>
    <w:rsid w:val="001C1F9C"/>
    <w:rsid w:val="001C226A"/>
    <w:rsid w:val="001C236E"/>
    <w:rsid w:val="001C29E7"/>
    <w:rsid w:val="001C3119"/>
    <w:rsid w:val="001C32C6"/>
    <w:rsid w:val="001C34FF"/>
    <w:rsid w:val="001C3E2D"/>
    <w:rsid w:val="001C48C7"/>
    <w:rsid w:val="001C4A9E"/>
    <w:rsid w:val="001C5F84"/>
    <w:rsid w:val="001C674A"/>
    <w:rsid w:val="001C6CAB"/>
    <w:rsid w:val="001C6CC1"/>
    <w:rsid w:val="001C6EDD"/>
    <w:rsid w:val="001C7130"/>
    <w:rsid w:val="001C72FC"/>
    <w:rsid w:val="001C7B74"/>
    <w:rsid w:val="001C7E70"/>
    <w:rsid w:val="001D0068"/>
    <w:rsid w:val="001D01C6"/>
    <w:rsid w:val="001D092F"/>
    <w:rsid w:val="001D1AEF"/>
    <w:rsid w:val="001D244E"/>
    <w:rsid w:val="001D24F1"/>
    <w:rsid w:val="001D286C"/>
    <w:rsid w:val="001D3031"/>
    <w:rsid w:val="001D33B8"/>
    <w:rsid w:val="001D3897"/>
    <w:rsid w:val="001D3AD1"/>
    <w:rsid w:val="001D45D2"/>
    <w:rsid w:val="001D478B"/>
    <w:rsid w:val="001D4816"/>
    <w:rsid w:val="001D4970"/>
    <w:rsid w:val="001D57E6"/>
    <w:rsid w:val="001D5F02"/>
    <w:rsid w:val="001D6178"/>
    <w:rsid w:val="001D6186"/>
    <w:rsid w:val="001D62AF"/>
    <w:rsid w:val="001D62CE"/>
    <w:rsid w:val="001D637E"/>
    <w:rsid w:val="001D6652"/>
    <w:rsid w:val="001D69E5"/>
    <w:rsid w:val="001D6B3D"/>
    <w:rsid w:val="001D6ED5"/>
    <w:rsid w:val="001D7104"/>
    <w:rsid w:val="001D7630"/>
    <w:rsid w:val="001D77C1"/>
    <w:rsid w:val="001E00CD"/>
    <w:rsid w:val="001E0360"/>
    <w:rsid w:val="001E075F"/>
    <w:rsid w:val="001E0933"/>
    <w:rsid w:val="001E0E13"/>
    <w:rsid w:val="001E14CB"/>
    <w:rsid w:val="001E14E8"/>
    <w:rsid w:val="001E1627"/>
    <w:rsid w:val="001E18BD"/>
    <w:rsid w:val="001E18DA"/>
    <w:rsid w:val="001E1A7C"/>
    <w:rsid w:val="001E1DBA"/>
    <w:rsid w:val="001E1EF2"/>
    <w:rsid w:val="001E290B"/>
    <w:rsid w:val="001E2CAB"/>
    <w:rsid w:val="001E3321"/>
    <w:rsid w:val="001E385F"/>
    <w:rsid w:val="001E39E4"/>
    <w:rsid w:val="001E45E7"/>
    <w:rsid w:val="001E490C"/>
    <w:rsid w:val="001E4B87"/>
    <w:rsid w:val="001E4C68"/>
    <w:rsid w:val="001E50FD"/>
    <w:rsid w:val="001E51A6"/>
    <w:rsid w:val="001E5310"/>
    <w:rsid w:val="001E5920"/>
    <w:rsid w:val="001E59DC"/>
    <w:rsid w:val="001E5DD7"/>
    <w:rsid w:val="001E5EEE"/>
    <w:rsid w:val="001E5F4A"/>
    <w:rsid w:val="001E6553"/>
    <w:rsid w:val="001E7358"/>
    <w:rsid w:val="001E76C3"/>
    <w:rsid w:val="001E7964"/>
    <w:rsid w:val="001E7C72"/>
    <w:rsid w:val="001E7EDD"/>
    <w:rsid w:val="001F02CD"/>
    <w:rsid w:val="001F0B7F"/>
    <w:rsid w:val="001F0CD0"/>
    <w:rsid w:val="001F0F71"/>
    <w:rsid w:val="001F1279"/>
    <w:rsid w:val="001F15B1"/>
    <w:rsid w:val="001F19D1"/>
    <w:rsid w:val="001F1B69"/>
    <w:rsid w:val="001F1C8F"/>
    <w:rsid w:val="001F1D9A"/>
    <w:rsid w:val="001F2740"/>
    <w:rsid w:val="001F2C3A"/>
    <w:rsid w:val="001F2C6B"/>
    <w:rsid w:val="001F3531"/>
    <w:rsid w:val="001F3696"/>
    <w:rsid w:val="001F3F85"/>
    <w:rsid w:val="001F42FF"/>
    <w:rsid w:val="001F44B4"/>
    <w:rsid w:val="001F44D3"/>
    <w:rsid w:val="001F4510"/>
    <w:rsid w:val="001F4A9F"/>
    <w:rsid w:val="001F4BA5"/>
    <w:rsid w:val="001F58D3"/>
    <w:rsid w:val="001F5957"/>
    <w:rsid w:val="001F59C6"/>
    <w:rsid w:val="001F60DA"/>
    <w:rsid w:val="001F65A4"/>
    <w:rsid w:val="001F65E0"/>
    <w:rsid w:val="001F6B53"/>
    <w:rsid w:val="001F6EE3"/>
    <w:rsid w:val="001F7362"/>
    <w:rsid w:val="001F75A9"/>
    <w:rsid w:val="001F7AE9"/>
    <w:rsid w:val="001F7CBF"/>
    <w:rsid w:val="001F7CFD"/>
    <w:rsid w:val="0020084F"/>
    <w:rsid w:val="002011D5"/>
    <w:rsid w:val="00201C2D"/>
    <w:rsid w:val="0020233B"/>
    <w:rsid w:val="002025F9"/>
    <w:rsid w:val="00202E6B"/>
    <w:rsid w:val="00202F63"/>
    <w:rsid w:val="00203367"/>
    <w:rsid w:val="00203C06"/>
    <w:rsid w:val="00204438"/>
    <w:rsid w:val="00204508"/>
    <w:rsid w:val="00204A44"/>
    <w:rsid w:val="00204BFC"/>
    <w:rsid w:val="00204F6E"/>
    <w:rsid w:val="002054AD"/>
    <w:rsid w:val="00206147"/>
    <w:rsid w:val="002064F3"/>
    <w:rsid w:val="002069A8"/>
    <w:rsid w:val="00206B2B"/>
    <w:rsid w:val="00206C70"/>
    <w:rsid w:val="00206EE7"/>
    <w:rsid w:val="0020789A"/>
    <w:rsid w:val="00207C83"/>
    <w:rsid w:val="00210869"/>
    <w:rsid w:val="002116AD"/>
    <w:rsid w:val="00211999"/>
    <w:rsid w:val="002119E9"/>
    <w:rsid w:val="00211B44"/>
    <w:rsid w:val="00212012"/>
    <w:rsid w:val="002120A6"/>
    <w:rsid w:val="002122B8"/>
    <w:rsid w:val="002123A4"/>
    <w:rsid w:val="002126CD"/>
    <w:rsid w:val="00212A54"/>
    <w:rsid w:val="00212EC9"/>
    <w:rsid w:val="00213773"/>
    <w:rsid w:val="00213B0E"/>
    <w:rsid w:val="00213CBC"/>
    <w:rsid w:val="002141FB"/>
    <w:rsid w:val="00214258"/>
    <w:rsid w:val="00214447"/>
    <w:rsid w:val="002146CA"/>
    <w:rsid w:val="002147D6"/>
    <w:rsid w:val="00214888"/>
    <w:rsid w:val="00214A2A"/>
    <w:rsid w:val="00214BEB"/>
    <w:rsid w:val="002154C2"/>
    <w:rsid w:val="0021575B"/>
    <w:rsid w:val="00215783"/>
    <w:rsid w:val="0021669B"/>
    <w:rsid w:val="002166C7"/>
    <w:rsid w:val="00216876"/>
    <w:rsid w:val="002168C9"/>
    <w:rsid w:val="00217451"/>
    <w:rsid w:val="002200D2"/>
    <w:rsid w:val="0022018A"/>
    <w:rsid w:val="00220ADA"/>
    <w:rsid w:val="00220B7B"/>
    <w:rsid w:val="00221074"/>
    <w:rsid w:val="002213D9"/>
    <w:rsid w:val="0022180E"/>
    <w:rsid w:val="00221B60"/>
    <w:rsid w:val="002220BA"/>
    <w:rsid w:val="00222546"/>
    <w:rsid w:val="00222796"/>
    <w:rsid w:val="002227B3"/>
    <w:rsid w:val="002227F5"/>
    <w:rsid w:val="00222CE3"/>
    <w:rsid w:val="002235D7"/>
    <w:rsid w:val="002239C4"/>
    <w:rsid w:val="00224617"/>
    <w:rsid w:val="00224B00"/>
    <w:rsid w:val="00225591"/>
    <w:rsid w:val="00225690"/>
    <w:rsid w:val="0022574F"/>
    <w:rsid w:val="00225910"/>
    <w:rsid w:val="0022593A"/>
    <w:rsid w:val="00225B52"/>
    <w:rsid w:val="00225CE3"/>
    <w:rsid w:val="00225D3F"/>
    <w:rsid w:val="002260D7"/>
    <w:rsid w:val="00226496"/>
    <w:rsid w:val="002269E8"/>
    <w:rsid w:val="00226B17"/>
    <w:rsid w:val="0022712B"/>
    <w:rsid w:val="002273DB"/>
    <w:rsid w:val="0022740B"/>
    <w:rsid w:val="002276A4"/>
    <w:rsid w:val="00227843"/>
    <w:rsid w:val="00227A99"/>
    <w:rsid w:val="00227C8B"/>
    <w:rsid w:val="002300AC"/>
    <w:rsid w:val="00230A44"/>
    <w:rsid w:val="00230A52"/>
    <w:rsid w:val="00230FA5"/>
    <w:rsid w:val="00231131"/>
    <w:rsid w:val="00231167"/>
    <w:rsid w:val="0023170E"/>
    <w:rsid w:val="00231839"/>
    <w:rsid w:val="00232371"/>
    <w:rsid w:val="00232423"/>
    <w:rsid w:val="0023262B"/>
    <w:rsid w:val="00232A4E"/>
    <w:rsid w:val="0023307F"/>
    <w:rsid w:val="00233A7D"/>
    <w:rsid w:val="00233A82"/>
    <w:rsid w:val="00234035"/>
    <w:rsid w:val="002346C6"/>
    <w:rsid w:val="0023476D"/>
    <w:rsid w:val="0023482B"/>
    <w:rsid w:val="0023482C"/>
    <w:rsid w:val="00234AA4"/>
    <w:rsid w:val="00234C7F"/>
    <w:rsid w:val="00234E62"/>
    <w:rsid w:val="00234F8F"/>
    <w:rsid w:val="00235214"/>
    <w:rsid w:val="00235AD3"/>
    <w:rsid w:val="0023658F"/>
    <w:rsid w:val="00236872"/>
    <w:rsid w:val="00236890"/>
    <w:rsid w:val="002368C0"/>
    <w:rsid w:val="002369FD"/>
    <w:rsid w:val="00236AA1"/>
    <w:rsid w:val="00236AC0"/>
    <w:rsid w:val="00236CC2"/>
    <w:rsid w:val="00236CDE"/>
    <w:rsid w:val="0023763A"/>
    <w:rsid w:val="00237D7D"/>
    <w:rsid w:val="002404D1"/>
    <w:rsid w:val="00240513"/>
    <w:rsid w:val="002405C8"/>
    <w:rsid w:val="002406F6"/>
    <w:rsid w:val="00240ECB"/>
    <w:rsid w:val="0024136A"/>
    <w:rsid w:val="002415DA"/>
    <w:rsid w:val="00241857"/>
    <w:rsid w:val="0024285E"/>
    <w:rsid w:val="00242997"/>
    <w:rsid w:val="00242F79"/>
    <w:rsid w:val="00242FA8"/>
    <w:rsid w:val="0024307E"/>
    <w:rsid w:val="0024310E"/>
    <w:rsid w:val="00243161"/>
    <w:rsid w:val="00243204"/>
    <w:rsid w:val="002435ED"/>
    <w:rsid w:val="0024393A"/>
    <w:rsid w:val="00243AC5"/>
    <w:rsid w:val="00243F11"/>
    <w:rsid w:val="0024405D"/>
    <w:rsid w:val="00244317"/>
    <w:rsid w:val="00244516"/>
    <w:rsid w:val="00244745"/>
    <w:rsid w:val="00244A0C"/>
    <w:rsid w:val="00244CF8"/>
    <w:rsid w:val="002454F0"/>
    <w:rsid w:val="002456C9"/>
    <w:rsid w:val="002456FB"/>
    <w:rsid w:val="00245B9E"/>
    <w:rsid w:val="002465AC"/>
    <w:rsid w:val="002465EC"/>
    <w:rsid w:val="00246614"/>
    <w:rsid w:val="00246907"/>
    <w:rsid w:val="00246A93"/>
    <w:rsid w:val="00246B28"/>
    <w:rsid w:val="00246C0E"/>
    <w:rsid w:val="00246C85"/>
    <w:rsid w:val="00246EC9"/>
    <w:rsid w:val="00246FE9"/>
    <w:rsid w:val="00247130"/>
    <w:rsid w:val="0024723E"/>
    <w:rsid w:val="00247760"/>
    <w:rsid w:val="002477A7"/>
    <w:rsid w:val="00247D26"/>
    <w:rsid w:val="00247E6F"/>
    <w:rsid w:val="00247FD9"/>
    <w:rsid w:val="0025003A"/>
    <w:rsid w:val="00250260"/>
    <w:rsid w:val="00250FD5"/>
    <w:rsid w:val="00251167"/>
    <w:rsid w:val="002511BA"/>
    <w:rsid w:val="00251A55"/>
    <w:rsid w:val="00252682"/>
    <w:rsid w:val="002526B9"/>
    <w:rsid w:val="00252B01"/>
    <w:rsid w:val="00252DD3"/>
    <w:rsid w:val="0025338F"/>
    <w:rsid w:val="00253572"/>
    <w:rsid w:val="0025394F"/>
    <w:rsid w:val="002539AA"/>
    <w:rsid w:val="00253B15"/>
    <w:rsid w:val="00253B97"/>
    <w:rsid w:val="002544CB"/>
    <w:rsid w:val="00254724"/>
    <w:rsid w:val="00255BAA"/>
    <w:rsid w:val="00255D8E"/>
    <w:rsid w:val="0025607F"/>
    <w:rsid w:val="0025646F"/>
    <w:rsid w:val="00256584"/>
    <w:rsid w:val="00256C48"/>
    <w:rsid w:val="00256D20"/>
    <w:rsid w:val="00256ED6"/>
    <w:rsid w:val="00256EF8"/>
    <w:rsid w:val="002570D5"/>
    <w:rsid w:val="00257177"/>
    <w:rsid w:val="00257305"/>
    <w:rsid w:val="00257730"/>
    <w:rsid w:val="002577AD"/>
    <w:rsid w:val="00257803"/>
    <w:rsid w:val="00257B74"/>
    <w:rsid w:val="00257CCE"/>
    <w:rsid w:val="00257CD8"/>
    <w:rsid w:val="002604FD"/>
    <w:rsid w:val="00260F56"/>
    <w:rsid w:val="002610D8"/>
    <w:rsid w:val="0026151A"/>
    <w:rsid w:val="00261A6C"/>
    <w:rsid w:val="002629E2"/>
    <w:rsid w:val="00262BA8"/>
    <w:rsid w:val="00262BC8"/>
    <w:rsid w:val="002636D4"/>
    <w:rsid w:val="002641D9"/>
    <w:rsid w:val="002643C5"/>
    <w:rsid w:val="00264917"/>
    <w:rsid w:val="00264D97"/>
    <w:rsid w:val="002651EC"/>
    <w:rsid w:val="00265DC2"/>
    <w:rsid w:val="002660A9"/>
    <w:rsid w:val="00266327"/>
    <w:rsid w:val="0026638C"/>
    <w:rsid w:val="00266F00"/>
    <w:rsid w:val="002670EF"/>
    <w:rsid w:val="002671A2"/>
    <w:rsid w:val="00267A38"/>
    <w:rsid w:val="00267EE2"/>
    <w:rsid w:val="00267F5F"/>
    <w:rsid w:val="002702F4"/>
    <w:rsid w:val="00270965"/>
    <w:rsid w:val="00270A01"/>
    <w:rsid w:val="00270EC6"/>
    <w:rsid w:val="00271E5D"/>
    <w:rsid w:val="00272082"/>
    <w:rsid w:val="002720FE"/>
    <w:rsid w:val="00272C8F"/>
    <w:rsid w:val="002731BB"/>
    <w:rsid w:val="0027349D"/>
    <w:rsid w:val="00273516"/>
    <w:rsid w:val="00273985"/>
    <w:rsid w:val="00273B82"/>
    <w:rsid w:val="00273E7A"/>
    <w:rsid w:val="00274372"/>
    <w:rsid w:val="0027475A"/>
    <w:rsid w:val="00274E9A"/>
    <w:rsid w:val="00274F5F"/>
    <w:rsid w:val="0027559C"/>
    <w:rsid w:val="00275F56"/>
    <w:rsid w:val="002765B7"/>
    <w:rsid w:val="00276EAA"/>
    <w:rsid w:val="0027735F"/>
    <w:rsid w:val="00277713"/>
    <w:rsid w:val="00277DBC"/>
    <w:rsid w:val="00277F64"/>
    <w:rsid w:val="00280550"/>
    <w:rsid w:val="00281063"/>
    <w:rsid w:val="00281676"/>
    <w:rsid w:val="00281C41"/>
    <w:rsid w:val="00281E32"/>
    <w:rsid w:val="002823B9"/>
    <w:rsid w:val="00282479"/>
    <w:rsid w:val="0028276E"/>
    <w:rsid w:val="002827F3"/>
    <w:rsid w:val="002829BD"/>
    <w:rsid w:val="00282B3E"/>
    <w:rsid w:val="00282C1F"/>
    <w:rsid w:val="00282C6C"/>
    <w:rsid w:val="00282EDF"/>
    <w:rsid w:val="002835E8"/>
    <w:rsid w:val="00283B7F"/>
    <w:rsid w:val="0028468D"/>
    <w:rsid w:val="0028470C"/>
    <w:rsid w:val="00284B5F"/>
    <w:rsid w:val="00284EAE"/>
    <w:rsid w:val="0028560C"/>
    <w:rsid w:val="00285879"/>
    <w:rsid w:val="0028596B"/>
    <w:rsid w:val="00285FB9"/>
    <w:rsid w:val="00286219"/>
    <w:rsid w:val="002864CC"/>
    <w:rsid w:val="00286579"/>
    <w:rsid w:val="00286A03"/>
    <w:rsid w:val="00287514"/>
    <w:rsid w:val="0028791B"/>
    <w:rsid w:val="00287C57"/>
    <w:rsid w:val="00287E44"/>
    <w:rsid w:val="00287F79"/>
    <w:rsid w:val="00287F7E"/>
    <w:rsid w:val="00290024"/>
    <w:rsid w:val="00290044"/>
    <w:rsid w:val="002900A9"/>
    <w:rsid w:val="00290C43"/>
    <w:rsid w:val="00290C90"/>
    <w:rsid w:val="00291260"/>
    <w:rsid w:val="002916DB"/>
    <w:rsid w:val="0029190A"/>
    <w:rsid w:val="00292220"/>
    <w:rsid w:val="00293047"/>
    <w:rsid w:val="00293271"/>
    <w:rsid w:val="00293422"/>
    <w:rsid w:val="00293587"/>
    <w:rsid w:val="00293896"/>
    <w:rsid w:val="00293C63"/>
    <w:rsid w:val="00293D08"/>
    <w:rsid w:val="00293E51"/>
    <w:rsid w:val="00293ED1"/>
    <w:rsid w:val="00294214"/>
    <w:rsid w:val="002949F6"/>
    <w:rsid w:val="00294A06"/>
    <w:rsid w:val="00294DD1"/>
    <w:rsid w:val="00294FFB"/>
    <w:rsid w:val="002954FD"/>
    <w:rsid w:val="002958FA"/>
    <w:rsid w:val="00295DE8"/>
    <w:rsid w:val="00296242"/>
    <w:rsid w:val="0029627F"/>
    <w:rsid w:val="002963EC"/>
    <w:rsid w:val="00296CE6"/>
    <w:rsid w:val="002973DF"/>
    <w:rsid w:val="00297843"/>
    <w:rsid w:val="00297D6A"/>
    <w:rsid w:val="002A0190"/>
    <w:rsid w:val="002A0983"/>
    <w:rsid w:val="002A0BF5"/>
    <w:rsid w:val="002A0C81"/>
    <w:rsid w:val="002A1128"/>
    <w:rsid w:val="002A158C"/>
    <w:rsid w:val="002A1739"/>
    <w:rsid w:val="002A1C9E"/>
    <w:rsid w:val="002A24EB"/>
    <w:rsid w:val="002A2C5E"/>
    <w:rsid w:val="002A2D66"/>
    <w:rsid w:val="002A4206"/>
    <w:rsid w:val="002A428E"/>
    <w:rsid w:val="002A432F"/>
    <w:rsid w:val="002A4624"/>
    <w:rsid w:val="002A46FA"/>
    <w:rsid w:val="002A4916"/>
    <w:rsid w:val="002A5227"/>
    <w:rsid w:val="002A53C5"/>
    <w:rsid w:val="002A57BC"/>
    <w:rsid w:val="002A581C"/>
    <w:rsid w:val="002B00FE"/>
    <w:rsid w:val="002B0E27"/>
    <w:rsid w:val="002B10B6"/>
    <w:rsid w:val="002B10D3"/>
    <w:rsid w:val="002B1113"/>
    <w:rsid w:val="002B1867"/>
    <w:rsid w:val="002B1BD1"/>
    <w:rsid w:val="002B1EA3"/>
    <w:rsid w:val="002B232E"/>
    <w:rsid w:val="002B2A55"/>
    <w:rsid w:val="002B2DA9"/>
    <w:rsid w:val="002B30C8"/>
    <w:rsid w:val="002B31FA"/>
    <w:rsid w:val="002B33D5"/>
    <w:rsid w:val="002B3434"/>
    <w:rsid w:val="002B3A06"/>
    <w:rsid w:val="002B4552"/>
    <w:rsid w:val="002B4C84"/>
    <w:rsid w:val="002B55DA"/>
    <w:rsid w:val="002B5746"/>
    <w:rsid w:val="002B5F21"/>
    <w:rsid w:val="002B63D3"/>
    <w:rsid w:val="002B6815"/>
    <w:rsid w:val="002B6AB1"/>
    <w:rsid w:val="002B71D1"/>
    <w:rsid w:val="002B78CF"/>
    <w:rsid w:val="002B7ECC"/>
    <w:rsid w:val="002C0144"/>
    <w:rsid w:val="002C0CAC"/>
    <w:rsid w:val="002C1475"/>
    <w:rsid w:val="002C1500"/>
    <w:rsid w:val="002C1F28"/>
    <w:rsid w:val="002C23CF"/>
    <w:rsid w:val="002C254B"/>
    <w:rsid w:val="002C25DE"/>
    <w:rsid w:val="002C27E8"/>
    <w:rsid w:val="002C2ACB"/>
    <w:rsid w:val="002C2F60"/>
    <w:rsid w:val="002C373F"/>
    <w:rsid w:val="002C3EC2"/>
    <w:rsid w:val="002C41CB"/>
    <w:rsid w:val="002C47E2"/>
    <w:rsid w:val="002C5C58"/>
    <w:rsid w:val="002C61B5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6A5"/>
    <w:rsid w:val="002D0E7A"/>
    <w:rsid w:val="002D155B"/>
    <w:rsid w:val="002D1AD3"/>
    <w:rsid w:val="002D2065"/>
    <w:rsid w:val="002D40A5"/>
    <w:rsid w:val="002D47E5"/>
    <w:rsid w:val="002D48E1"/>
    <w:rsid w:val="002D4DF7"/>
    <w:rsid w:val="002D5847"/>
    <w:rsid w:val="002D5C83"/>
    <w:rsid w:val="002D61C8"/>
    <w:rsid w:val="002D629E"/>
    <w:rsid w:val="002D6E7A"/>
    <w:rsid w:val="002D6E9A"/>
    <w:rsid w:val="002D6F57"/>
    <w:rsid w:val="002D726B"/>
    <w:rsid w:val="002D75DB"/>
    <w:rsid w:val="002D7F19"/>
    <w:rsid w:val="002D7F2C"/>
    <w:rsid w:val="002E0067"/>
    <w:rsid w:val="002E02D0"/>
    <w:rsid w:val="002E0489"/>
    <w:rsid w:val="002E04C0"/>
    <w:rsid w:val="002E0544"/>
    <w:rsid w:val="002E1DF4"/>
    <w:rsid w:val="002E2C3B"/>
    <w:rsid w:val="002E3C37"/>
    <w:rsid w:val="002E3CD0"/>
    <w:rsid w:val="002E4BA7"/>
    <w:rsid w:val="002E4D3D"/>
    <w:rsid w:val="002E4DD1"/>
    <w:rsid w:val="002E5A77"/>
    <w:rsid w:val="002E5CA7"/>
    <w:rsid w:val="002E6377"/>
    <w:rsid w:val="002E64C3"/>
    <w:rsid w:val="002E668B"/>
    <w:rsid w:val="002E7113"/>
    <w:rsid w:val="002E7235"/>
    <w:rsid w:val="002E7822"/>
    <w:rsid w:val="002E7C80"/>
    <w:rsid w:val="002E7DEA"/>
    <w:rsid w:val="002F01B0"/>
    <w:rsid w:val="002F024B"/>
    <w:rsid w:val="002F0276"/>
    <w:rsid w:val="002F039E"/>
    <w:rsid w:val="002F046D"/>
    <w:rsid w:val="002F0B42"/>
    <w:rsid w:val="002F10E7"/>
    <w:rsid w:val="002F11F9"/>
    <w:rsid w:val="002F1274"/>
    <w:rsid w:val="002F13E0"/>
    <w:rsid w:val="002F16CB"/>
    <w:rsid w:val="002F1742"/>
    <w:rsid w:val="002F197C"/>
    <w:rsid w:val="002F1AB0"/>
    <w:rsid w:val="002F238B"/>
    <w:rsid w:val="002F2626"/>
    <w:rsid w:val="002F2799"/>
    <w:rsid w:val="002F3038"/>
    <w:rsid w:val="002F3C64"/>
    <w:rsid w:val="002F4431"/>
    <w:rsid w:val="002F4687"/>
    <w:rsid w:val="002F47E7"/>
    <w:rsid w:val="002F510D"/>
    <w:rsid w:val="002F520E"/>
    <w:rsid w:val="002F5F61"/>
    <w:rsid w:val="002F63E6"/>
    <w:rsid w:val="002F7729"/>
    <w:rsid w:val="002F794D"/>
    <w:rsid w:val="002F7D2A"/>
    <w:rsid w:val="00300081"/>
    <w:rsid w:val="0030023E"/>
    <w:rsid w:val="0030059B"/>
    <w:rsid w:val="00300812"/>
    <w:rsid w:val="0030094D"/>
    <w:rsid w:val="00300D44"/>
    <w:rsid w:val="00300FC5"/>
    <w:rsid w:val="00301277"/>
    <w:rsid w:val="00301331"/>
    <w:rsid w:val="00301837"/>
    <w:rsid w:val="003018AA"/>
    <w:rsid w:val="003019CD"/>
    <w:rsid w:val="00302DA3"/>
    <w:rsid w:val="0030341B"/>
    <w:rsid w:val="003034D2"/>
    <w:rsid w:val="0030373E"/>
    <w:rsid w:val="00303A1B"/>
    <w:rsid w:val="003045BE"/>
    <w:rsid w:val="00304E8C"/>
    <w:rsid w:val="0030518C"/>
    <w:rsid w:val="00305204"/>
    <w:rsid w:val="003054E0"/>
    <w:rsid w:val="00305F09"/>
    <w:rsid w:val="00305F53"/>
    <w:rsid w:val="003060F3"/>
    <w:rsid w:val="0030612A"/>
    <w:rsid w:val="003068EC"/>
    <w:rsid w:val="00306C01"/>
    <w:rsid w:val="0030759B"/>
    <w:rsid w:val="003076C4"/>
    <w:rsid w:val="003079A6"/>
    <w:rsid w:val="003106C8"/>
    <w:rsid w:val="00310E3F"/>
    <w:rsid w:val="00311270"/>
    <w:rsid w:val="0031175D"/>
    <w:rsid w:val="00311800"/>
    <w:rsid w:val="003119DD"/>
    <w:rsid w:val="00311F8C"/>
    <w:rsid w:val="00312297"/>
    <w:rsid w:val="003124C8"/>
    <w:rsid w:val="00313367"/>
    <w:rsid w:val="0031354F"/>
    <w:rsid w:val="003138CF"/>
    <w:rsid w:val="00313C5B"/>
    <w:rsid w:val="00314614"/>
    <w:rsid w:val="00314739"/>
    <w:rsid w:val="00314773"/>
    <w:rsid w:val="003149C2"/>
    <w:rsid w:val="00314F8A"/>
    <w:rsid w:val="003151F3"/>
    <w:rsid w:val="003152FA"/>
    <w:rsid w:val="003154DB"/>
    <w:rsid w:val="003156BC"/>
    <w:rsid w:val="00316198"/>
    <w:rsid w:val="00316779"/>
    <w:rsid w:val="00316A45"/>
    <w:rsid w:val="00316C18"/>
    <w:rsid w:val="00316C5F"/>
    <w:rsid w:val="00316C7C"/>
    <w:rsid w:val="00317AB7"/>
    <w:rsid w:val="00317DA5"/>
    <w:rsid w:val="003201D0"/>
    <w:rsid w:val="003205E0"/>
    <w:rsid w:val="00321386"/>
    <w:rsid w:val="00321788"/>
    <w:rsid w:val="00321848"/>
    <w:rsid w:val="00321958"/>
    <w:rsid w:val="00321AF7"/>
    <w:rsid w:val="00321CB3"/>
    <w:rsid w:val="00321D35"/>
    <w:rsid w:val="00321FA7"/>
    <w:rsid w:val="00322341"/>
    <w:rsid w:val="00322AFC"/>
    <w:rsid w:val="0032345B"/>
    <w:rsid w:val="003235FE"/>
    <w:rsid w:val="00324A1E"/>
    <w:rsid w:val="00324FF5"/>
    <w:rsid w:val="003256A0"/>
    <w:rsid w:val="003257D5"/>
    <w:rsid w:val="00325BAB"/>
    <w:rsid w:val="003265DE"/>
    <w:rsid w:val="00326A08"/>
    <w:rsid w:val="003273D2"/>
    <w:rsid w:val="003275D6"/>
    <w:rsid w:val="0032761B"/>
    <w:rsid w:val="0032767E"/>
    <w:rsid w:val="003277C6"/>
    <w:rsid w:val="00327845"/>
    <w:rsid w:val="0032788D"/>
    <w:rsid w:val="00327B0E"/>
    <w:rsid w:val="003302CF"/>
    <w:rsid w:val="00330559"/>
    <w:rsid w:val="00330B86"/>
    <w:rsid w:val="00330DB5"/>
    <w:rsid w:val="00331306"/>
    <w:rsid w:val="00331659"/>
    <w:rsid w:val="003319C5"/>
    <w:rsid w:val="00331A58"/>
    <w:rsid w:val="003320F9"/>
    <w:rsid w:val="003327BD"/>
    <w:rsid w:val="00332CD4"/>
    <w:rsid w:val="0033308D"/>
    <w:rsid w:val="003338EB"/>
    <w:rsid w:val="00333D21"/>
    <w:rsid w:val="00334446"/>
    <w:rsid w:val="0033444C"/>
    <w:rsid w:val="00334725"/>
    <w:rsid w:val="00334739"/>
    <w:rsid w:val="00334A38"/>
    <w:rsid w:val="00334AF1"/>
    <w:rsid w:val="003353D5"/>
    <w:rsid w:val="003354CA"/>
    <w:rsid w:val="00335A53"/>
    <w:rsid w:val="00336686"/>
    <w:rsid w:val="00337311"/>
    <w:rsid w:val="003379A4"/>
    <w:rsid w:val="00337BB0"/>
    <w:rsid w:val="00337CB6"/>
    <w:rsid w:val="003403AE"/>
    <w:rsid w:val="003405B9"/>
    <w:rsid w:val="00340913"/>
    <w:rsid w:val="003409BD"/>
    <w:rsid w:val="00340F65"/>
    <w:rsid w:val="00341008"/>
    <w:rsid w:val="0034111B"/>
    <w:rsid w:val="00342077"/>
    <w:rsid w:val="00342559"/>
    <w:rsid w:val="00342D1A"/>
    <w:rsid w:val="0034339B"/>
    <w:rsid w:val="00343860"/>
    <w:rsid w:val="0034390F"/>
    <w:rsid w:val="00343AB5"/>
    <w:rsid w:val="00343CCF"/>
    <w:rsid w:val="003440F9"/>
    <w:rsid w:val="0034438F"/>
    <w:rsid w:val="00344BD5"/>
    <w:rsid w:val="00344CEF"/>
    <w:rsid w:val="00344F44"/>
    <w:rsid w:val="0034511C"/>
    <w:rsid w:val="00345191"/>
    <w:rsid w:val="00345505"/>
    <w:rsid w:val="0034550A"/>
    <w:rsid w:val="00345B7B"/>
    <w:rsid w:val="00345C93"/>
    <w:rsid w:val="0034620C"/>
    <w:rsid w:val="00346579"/>
    <w:rsid w:val="00346C50"/>
    <w:rsid w:val="003474B3"/>
    <w:rsid w:val="003475BA"/>
    <w:rsid w:val="00347A1B"/>
    <w:rsid w:val="00347CA3"/>
    <w:rsid w:val="00347F9F"/>
    <w:rsid w:val="00351032"/>
    <w:rsid w:val="0035149A"/>
    <w:rsid w:val="00351668"/>
    <w:rsid w:val="00352775"/>
    <w:rsid w:val="00352F14"/>
    <w:rsid w:val="003530B3"/>
    <w:rsid w:val="003532DF"/>
    <w:rsid w:val="00353744"/>
    <w:rsid w:val="00353F13"/>
    <w:rsid w:val="003549E9"/>
    <w:rsid w:val="0035546F"/>
    <w:rsid w:val="003554BD"/>
    <w:rsid w:val="003554CE"/>
    <w:rsid w:val="00355A25"/>
    <w:rsid w:val="00356586"/>
    <w:rsid w:val="00356792"/>
    <w:rsid w:val="00356B21"/>
    <w:rsid w:val="00356C59"/>
    <w:rsid w:val="00356DA5"/>
    <w:rsid w:val="003571E2"/>
    <w:rsid w:val="00360107"/>
    <w:rsid w:val="00360545"/>
    <w:rsid w:val="00360A82"/>
    <w:rsid w:val="00361062"/>
    <w:rsid w:val="003610F5"/>
    <w:rsid w:val="003616F4"/>
    <w:rsid w:val="00361CD5"/>
    <w:rsid w:val="00361DE0"/>
    <w:rsid w:val="003628E9"/>
    <w:rsid w:val="00362B5E"/>
    <w:rsid w:val="003638E9"/>
    <w:rsid w:val="003641CC"/>
    <w:rsid w:val="003643A5"/>
    <w:rsid w:val="0036443D"/>
    <w:rsid w:val="003644CA"/>
    <w:rsid w:val="00364D97"/>
    <w:rsid w:val="003652A3"/>
    <w:rsid w:val="0036533F"/>
    <w:rsid w:val="00365370"/>
    <w:rsid w:val="003661C9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0DE5"/>
    <w:rsid w:val="00370E59"/>
    <w:rsid w:val="00371208"/>
    <w:rsid w:val="003718D9"/>
    <w:rsid w:val="0037207D"/>
    <w:rsid w:val="00372389"/>
    <w:rsid w:val="00372564"/>
    <w:rsid w:val="00372644"/>
    <w:rsid w:val="0037334A"/>
    <w:rsid w:val="003734B3"/>
    <w:rsid w:val="00373D8A"/>
    <w:rsid w:val="0037443B"/>
    <w:rsid w:val="00374D3E"/>
    <w:rsid w:val="0037525E"/>
    <w:rsid w:val="00375820"/>
    <w:rsid w:val="00375B14"/>
    <w:rsid w:val="00375D85"/>
    <w:rsid w:val="00375E50"/>
    <w:rsid w:val="003760FD"/>
    <w:rsid w:val="003769D5"/>
    <w:rsid w:val="00376A9C"/>
    <w:rsid w:val="00377475"/>
    <w:rsid w:val="00377A8C"/>
    <w:rsid w:val="00380027"/>
    <w:rsid w:val="0038053C"/>
    <w:rsid w:val="0038054C"/>
    <w:rsid w:val="0038061C"/>
    <w:rsid w:val="00381137"/>
    <w:rsid w:val="00381168"/>
    <w:rsid w:val="00381BE5"/>
    <w:rsid w:val="00381E3D"/>
    <w:rsid w:val="003820DA"/>
    <w:rsid w:val="003825F4"/>
    <w:rsid w:val="00383110"/>
    <w:rsid w:val="00383181"/>
    <w:rsid w:val="003831C2"/>
    <w:rsid w:val="00383338"/>
    <w:rsid w:val="0038339B"/>
    <w:rsid w:val="0038369B"/>
    <w:rsid w:val="00383701"/>
    <w:rsid w:val="003837F6"/>
    <w:rsid w:val="00383BC1"/>
    <w:rsid w:val="003840B4"/>
    <w:rsid w:val="00384187"/>
    <w:rsid w:val="0038458A"/>
    <w:rsid w:val="00384701"/>
    <w:rsid w:val="00384744"/>
    <w:rsid w:val="00384900"/>
    <w:rsid w:val="00384D8F"/>
    <w:rsid w:val="00384DCE"/>
    <w:rsid w:val="00384EF8"/>
    <w:rsid w:val="00384F29"/>
    <w:rsid w:val="00385547"/>
    <w:rsid w:val="003865E7"/>
    <w:rsid w:val="00386891"/>
    <w:rsid w:val="00386A21"/>
    <w:rsid w:val="0038735C"/>
    <w:rsid w:val="003874B4"/>
    <w:rsid w:val="00387631"/>
    <w:rsid w:val="00387823"/>
    <w:rsid w:val="00387954"/>
    <w:rsid w:val="00390044"/>
    <w:rsid w:val="003903FB"/>
    <w:rsid w:val="00390644"/>
    <w:rsid w:val="0039066F"/>
    <w:rsid w:val="00390D50"/>
    <w:rsid w:val="00390EAD"/>
    <w:rsid w:val="00390EAF"/>
    <w:rsid w:val="00391B86"/>
    <w:rsid w:val="00391CBB"/>
    <w:rsid w:val="00391D90"/>
    <w:rsid w:val="00391DDE"/>
    <w:rsid w:val="0039208E"/>
    <w:rsid w:val="003923A6"/>
    <w:rsid w:val="0039257A"/>
    <w:rsid w:val="0039290C"/>
    <w:rsid w:val="00393231"/>
    <w:rsid w:val="0039372B"/>
    <w:rsid w:val="0039383D"/>
    <w:rsid w:val="0039422A"/>
    <w:rsid w:val="0039433B"/>
    <w:rsid w:val="003946B9"/>
    <w:rsid w:val="00394888"/>
    <w:rsid w:val="00394917"/>
    <w:rsid w:val="00394FE8"/>
    <w:rsid w:val="00395069"/>
    <w:rsid w:val="003955AD"/>
    <w:rsid w:val="00395A0A"/>
    <w:rsid w:val="00396911"/>
    <w:rsid w:val="00396943"/>
    <w:rsid w:val="00396C46"/>
    <w:rsid w:val="00397BC5"/>
    <w:rsid w:val="00397BF1"/>
    <w:rsid w:val="003A0756"/>
    <w:rsid w:val="003A0A67"/>
    <w:rsid w:val="003A0E1D"/>
    <w:rsid w:val="003A1273"/>
    <w:rsid w:val="003A1596"/>
    <w:rsid w:val="003A1C56"/>
    <w:rsid w:val="003A1FEA"/>
    <w:rsid w:val="003A24A7"/>
    <w:rsid w:val="003A2DAC"/>
    <w:rsid w:val="003A2DB7"/>
    <w:rsid w:val="003A2E86"/>
    <w:rsid w:val="003A344A"/>
    <w:rsid w:val="003A3622"/>
    <w:rsid w:val="003A36D4"/>
    <w:rsid w:val="003A3C3F"/>
    <w:rsid w:val="003A4139"/>
    <w:rsid w:val="003A4409"/>
    <w:rsid w:val="003A495B"/>
    <w:rsid w:val="003A4AEC"/>
    <w:rsid w:val="003A4B2F"/>
    <w:rsid w:val="003A4C4A"/>
    <w:rsid w:val="003A4F9E"/>
    <w:rsid w:val="003A5033"/>
    <w:rsid w:val="003A53AA"/>
    <w:rsid w:val="003A54CF"/>
    <w:rsid w:val="003A5A21"/>
    <w:rsid w:val="003A5AFD"/>
    <w:rsid w:val="003A5B38"/>
    <w:rsid w:val="003A5E50"/>
    <w:rsid w:val="003A5EEB"/>
    <w:rsid w:val="003A5F81"/>
    <w:rsid w:val="003A6FFB"/>
    <w:rsid w:val="003A701E"/>
    <w:rsid w:val="003A7161"/>
    <w:rsid w:val="003A7200"/>
    <w:rsid w:val="003A72DB"/>
    <w:rsid w:val="003A75C6"/>
    <w:rsid w:val="003A7814"/>
    <w:rsid w:val="003A79FF"/>
    <w:rsid w:val="003A7B9B"/>
    <w:rsid w:val="003A7DFF"/>
    <w:rsid w:val="003A7E72"/>
    <w:rsid w:val="003B00E9"/>
    <w:rsid w:val="003B02DF"/>
    <w:rsid w:val="003B0A8B"/>
    <w:rsid w:val="003B1083"/>
    <w:rsid w:val="003B12DB"/>
    <w:rsid w:val="003B1346"/>
    <w:rsid w:val="003B1C5D"/>
    <w:rsid w:val="003B1DA1"/>
    <w:rsid w:val="003B1EAD"/>
    <w:rsid w:val="003B1F1C"/>
    <w:rsid w:val="003B23A8"/>
    <w:rsid w:val="003B24A2"/>
    <w:rsid w:val="003B24DD"/>
    <w:rsid w:val="003B2BCD"/>
    <w:rsid w:val="003B32BE"/>
    <w:rsid w:val="003B3822"/>
    <w:rsid w:val="003B3BAD"/>
    <w:rsid w:val="003B3F02"/>
    <w:rsid w:val="003B3F64"/>
    <w:rsid w:val="003B4312"/>
    <w:rsid w:val="003B4644"/>
    <w:rsid w:val="003B49D4"/>
    <w:rsid w:val="003B4B26"/>
    <w:rsid w:val="003B4E29"/>
    <w:rsid w:val="003B5306"/>
    <w:rsid w:val="003B5757"/>
    <w:rsid w:val="003B59A4"/>
    <w:rsid w:val="003B5E92"/>
    <w:rsid w:val="003B5F7C"/>
    <w:rsid w:val="003B6179"/>
    <w:rsid w:val="003B69D0"/>
    <w:rsid w:val="003B772D"/>
    <w:rsid w:val="003B7B4D"/>
    <w:rsid w:val="003C0125"/>
    <w:rsid w:val="003C03F7"/>
    <w:rsid w:val="003C05CD"/>
    <w:rsid w:val="003C0A97"/>
    <w:rsid w:val="003C0FE5"/>
    <w:rsid w:val="003C14B6"/>
    <w:rsid w:val="003C1CAF"/>
    <w:rsid w:val="003C22D4"/>
    <w:rsid w:val="003C29AF"/>
    <w:rsid w:val="003C2E73"/>
    <w:rsid w:val="003C36B1"/>
    <w:rsid w:val="003C3984"/>
    <w:rsid w:val="003C3BC5"/>
    <w:rsid w:val="003C3F73"/>
    <w:rsid w:val="003C40A2"/>
    <w:rsid w:val="003C5428"/>
    <w:rsid w:val="003C5519"/>
    <w:rsid w:val="003C5A97"/>
    <w:rsid w:val="003C616B"/>
    <w:rsid w:val="003C681D"/>
    <w:rsid w:val="003C6BED"/>
    <w:rsid w:val="003C6C96"/>
    <w:rsid w:val="003C76F4"/>
    <w:rsid w:val="003C7965"/>
    <w:rsid w:val="003C79B3"/>
    <w:rsid w:val="003C7B7E"/>
    <w:rsid w:val="003C7D06"/>
    <w:rsid w:val="003C7EF7"/>
    <w:rsid w:val="003D0E1F"/>
    <w:rsid w:val="003D113B"/>
    <w:rsid w:val="003D1182"/>
    <w:rsid w:val="003D1AE0"/>
    <w:rsid w:val="003D2045"/>
    <w:rsid w:val="003D22DA"/>
    <w:rsid w:val="003D2A32"/>
    <w:rsid w:val="003D358C"/>
    <w:rsid w:val="003D3779"/>
    <w:rsid w:val="003D3B8B"/>
    <w:rsid w:val="003D4254"/>
    <w:rsid w:val="003D425A"/>
    <w:rsid w:val="003D43E7"/>
    <w:rsid w:val="003D4824"/>
    <w:rsid w:val="003D4866"/>
    <w:rsid w:val="003D507A"/>
    <w:rsid w:val="003D554B"/>
    <w:rsid w:val="003D5F76"/>
    <w:rsid w:val="003D6065"/>
    <w:rsid w:val="003D61F5"/>
    <w:rsid w:val="003D6280"/>
    <w:rsid w:val="003D66CB"/>
    <w:rsid w:val="003D687A"/>
    <w:rsid w:val="003D6E45"/>
    <w:rsid w:val="003D7125"/>
    <w:rsid w:val="003D7820"/>
    <w:rsid w:val="003D7A2D"/>
    <w:rsid w:val="003D7C91"/>
    <w:rsid w:val="003E0227"/>
    <w:rsid w:val="003E043F"/>
    <w:rsid w:val="003E07F1"/>
    <w:rsid w:val="003E08BE"/>
    <w:rsid w:val="003E0E8C"/>
    <w:rsid w:val="003E113F"/>
    <w:rsid w:val="003E1418"/>
    <w:rsid w:val="003E1867"/>
    <w:rsid w:val="003E1ABA"/>
    <w:rsid w:val="003E20CB"/>
    <w:rsid w:val="003E2169"/>
    <w:rsid w:val="003E23B1"/>
    <w:rsid w:val="003E26DE"/>
    <w:rsid w:val="003E2E74"/>
    <w:rsid w:val="003E3238"/>
    <w:rsid w:val="003E479F"/>
    <w:rsid w:val="003E47F5"/>
    <w:rsid w:val="003E4979"/>
    <w:rsid w:val="003E4B79"/>
    <w:rsid w:val="003E4B85"/>
    <w:rsid w:val="003E5764"/>
    <w:rsid w:val="003E581F"/>
    <w:rsid w:val="003E59A3"/>
    <w:rsid w:val="003E5CAB"/>
    <w:rsid w:val="003E5F16"/>
    <w:rsid w:val="003E634D"/>
    <w:rsid w:val="003E644F"/>
    <w:rsid w:val="003E64BB"/>
    <w:rsid w:val="003E6AC1"/>
    <w:rsid w:val="003E6B73"/>
    <w:rsid w:val="003E7EEA"/>
    <w:rsid w:val="003F00D8"/>
    <w:rsid w:val="003F01E7"/>
    <w:rsid w:val="003F0AEA"/>
    <w:rsid w:val="003F110F"/>
    <w:rsid w:val="003F18CF"/>
    <w:rsid w:val="003F1B53"/>
    <w:rsid w:val="003F2BFE"/>
    <w:rsid w:val="003F3667"/>
    <w:rsid w:val="003F3A44"/>
    <w:rsid w:val="003F3B3F"/>
    <w:rsid w:val="003F5732"/>
    <w:rsid w:val="003F5A5B"/>
    <w:rsid w:val="003F5F0A"/>
    <w:rsid w:val="003F603A"/>
    <w:rsid w:val="003F6DF4"/>
    <w:rsid w:val="003F7022"/>
    <w:rsid w:val="003F7263"/>
    <w:rsid w:val="003F7D77"/>
    <w:rsid w:val="0040000D"/>
    <w:rsid w:val="004005DE"/>
    <w:rsid w:val="00400626"/>
    <w:rsid w:val="00400A5E"/>
    <w:rsid w:val="00400F1D"/>
    <w:rsid w:val="00401089"/>
    <w:rsid w:val="004015B0"/>
    <w:rsid w:val="004016AD"/>
    <w:rsid w:val="00401A15"/>
    <w:rsid w:val="00401A45"/>
    <w:rsid w:val="00401C5B"/>
    <w:rsid w:val="00401DB1"/>
    <w:rsid w:val="004020FB"/>
    <w:rsid w:val="0040230D"/>
    <w:rsid w:val="004024C2"/>
    <w:rsid w:val="004028D0"/>
    <w:rsid w:val="00402940"/>
    <w:rsid w:val="004029DE"/>
    <w:rsid w:val="00403226"/>
    <w:rsid w:val="0040342B"/>
    <w:rsid w:val="00403827"/>
    <w:rsid w:val="004040E3"/>
    <w:rsid w:val="00404D4D"/>
    <w:rsid w:val="00405132"/>
    <w:rsid w:val="00405B08"/>
    <w:rsid w:val="00405F25"/>
    <w:rsid w:val="004068A2"/>
    <w:rsid w:val="00406FCE"/>
    <w:rsid w:val="00407731"/>
    <w:rsid w:val="00407CDA"/>
    <w:rsid w:val="00407F71"/>
    <w:rsid w:val="004100FD"/>
    <w:rsid w:val="00410259"/>
    <w:rsid w:val="0041029D"/>
    <w:rsid w:val="00410347"/>
    <w:rsid w:val="004104BF"/>
    <w:rsid w:val="0041068A"/>
    <w:rsid w:val="00410DEC"/>
    <w:rsid w:val="0041138F"/>
    <w:rsid w:val="004118D5"/>
    <w:rsid w:val="0041209E"/>
    <w:rsid w:val="00412EF3"/>
    <w:rsid w:val="00413162"/>
    <w:rsid w:val="004133CD"/>
    <w:rsid w:val="00413549"/>
    <w:rsid w:val="00413FCD"/>
    <w:rsid w:val="0041439E"/>
    <w:rsid w:val="00414538"/>
    <w:rsid w:val="00414647"/>
    <w:rsid w:val="0041479C"/>
    <w:rsid w:val="00414F9A"/>
    <w:rsid w:val="00415ECC"/>
    <w:rsid w:val="00415EF5"/>
    <w:rsid w:val="00415FDE"/>
    <w:rsid w:val="00416787"/>
    <w:rsid w:val="00416D86"/>
    <w:rsid w:val="004170FC"/>
    <w:rsid w:val="00417E9C"/>
    <w:rsid w:val="00417F13"/>
    <w:rsid w:val="004203CA"/>
    <w:rsid w:val="004208D7"/>
    <w:rsid w:val="00420CA2"/>
    <w:rsid w:val="00421878"/>
    <w:rsid w:val="004219C1"/>
    <w:rsid w:val="004228EE"/>
    <w:rsid w:val="00422BB1"/>
    <w:rsid w:val="00422BF9"/>
    <w:rsid w:val="00422D87"/>
    <w:rsid w:val="0042325A"/>
    <w:rsid w:val="0042336F"/>
    <w:rsid w:val="004234EF"/>
    <w:rsid w:val="00423CA0"/>
    <w:rsid w:val="004242F2"/>
    <w:rsid w:val="004249DB"/>
    <w:rsid w:val="00424C6D"/>
    <w:rsid w:val="00424C76"/>
    <w:rsid w:val="00425554"/>
    <w:rsid w:val="0042556A"/>
    <w:rsid w:val="00425B68"/>
    <w:rsid w:val="00425C9F"/>
    <w:rsid w:val="004268A5"/>
    <w:rsid w:val="0042695F"/>
    <w:rsid w:val="00426F4F"/>
    <w:rsid w:val="0042776F"/>
    <w:rsid w:val="00427D02"/>
    <w:rsid w:val="004300E1"/>
    <w:rsid w:val="00430294"/>
    <w:rsid w:val="004309CF"/>
    <w:rsid w:val="00430B44"/>
    <w:rsid w:val="00430F27"/>
    <w:rsid w:val="0043104B"/>
    <w:rsid w:val="0043181D"/>
    <w:rsid w:val="00431AE7"/>
    <w:rsid w:val="00431DC7"/>
    <w:rsid w:val="004325BF"/>
    <w:rsid w:val="0043274C"/>
    <w:rsid w:val="004328E4"/>
    <w:rsid w:val="00432937"/>
    <w:rsid w:val="00432CB9"/>
    <w:rsid w:val="00433460"/>
    <w:rsid w:val="00433550"/>
    <w:rsid w:val="00433D87"/>
    <w:rsid w:val="00433E32"/>
    <w:rsid w:val="00433ECE"/>
    <w:rsid w:val="00434370"/>
    <w:rsid w:val="004347A7"/>
    <w:rsid w:val="00434800"/>
    <w:rsid w:val="00434B3D"/>
    <w:rsid w:val="00434F9C"/>
    <w:rsid w:val="004355FA"/>
    <w:rsid w:val="00435F09"/>
    <w:rsid w:val="00435F6F"/>
    <w:rsid w:val="00436225"/>
    <w:rsid w:val="00436548"/>
    <w:rsid w:val="00436C20"/>
    <w:rsid w:val="004373A1"/>
    <w:rsid w:val="00440392"/>
    <w:rsid w:val="00440396"/>
    <w:rsid w:val="004403E3"/>
    <w:rsid w:val="00440502"/>
    <w:rsid w:val="0044058F"/>
    <w:rsid w:val="004412E5"/>
    <w:rsid w:val="00441394"/>
    <w:rsid w:val="004415FC"/>
    <w:rsid w:val="00441989"/>
    <w:rsid w:val="00441BF6"/>
    <w:rsid w:val="00442112"/>
    <w:rsid w:val="00442822"/>
    <w:rsid w:val="00442B37"/>
    <w:rsid w:val="00442FA9"/>
    <w:rsid w:val="004437F3"/>
    <w:rsid w:val="00443866"/>
    <w:rsid w:val="00443A3A"/>
    <w:rsid w:val="00443AE0"/>
    <w:rsid w:val="00443D1A"/>
    <w:rsid w:val="004442B1"/>
    <w:rsid w:val="004443FB"/>
    <w:rsid w:val="0044476D"/>
    <w:rsid w:val="00445064"/>
    <w:rsid w:val="00445172"/>
    <w:rsid w:val="00445472"/>
    <w:rsid w:val="004464C3"/>
    <w:rsid w:val="00447603"/>
    <w:rsid w:val="00447999"/>
    <w:rsid w:val="00447AC5"/>
    <w:rsid w:val="00447BDB"/>
    <w:rsid w:val="00447EAD"/>
    <w:rsid w:val="00447FF7"/>
    <w:rsid w:val="004504A7"/>
    <w:rsid w:val="004504E7"/>
    <w:rsid w:val="00450899"/>
    <w:rsid w:val="004508B7"/>
    <w:rsid w:val="00450FE9"/>
    <w:rsid w:val="00451A7B"/>
    <w:rsid w:val="004522A6"/>
    <w:rsid w:val="00452870"/>
    <w:rsid w:val="0045291E"/>
    <w:rsid w:val="004529D7"/>
    <w:rsid w:val="00452A11"/>
    <w:rsid w:val="00453BF4"/>
    <w:rsid w:val="00453D89"/>
    <w:rsid w:val="00453E34"/>
    <w:rsid w:val="004541EE"/>
    <w:rsid w:val="00454571"/>
    <w:rsid w:val="00454FE9"/>
    <w:rsid w:val="0045592A"/>
    <w:rsid w:val="0045592E"/>
    <w:rsid w:val="00455AE9"/>
    <w:rsid w:val="00455AFA"/>
    <w:rsid w:val="00456308"/>
    <w:rsid w:val="004566BE"/>
    <w:rsid w:val="0045682E"/>
    <w:rsid w:val="004568B4"/>
    <w:rsid w:val="00457142"/>
    <w:rsid w:val="004573A4"/>
    <w:rsid w:val="00457493"/>
    <w:rsid w:val="00457958"/>
    <w:rsid w:val="004605F4"/>
    <w:rsid w:val="0046115F"/>
    <w:rsid w:val="0046148D"/>
    <w:rsid w:val="00461535"/>
    <w:rsid w:val="00461AD5"/>
    <w:rsid w:val="0046203B"/>
    <w:rsid w:val="00462496"/>
    <w:rsid w:val="004625A3"/>
    <w:rsid w:val="004627CF"/>
    <w:rsid w:val="004628E6"/>
    <w:rsid w:val="004628EF"/>
    <w:rsid w:val="00462977"/>
    <w:rsid w:val="00462DBA"/>
    <w:rsid w:val="004631FA"/>
    <w:rsid w:val="004635B7"/>
    <w:rsid w:val="0046365B"/>
    <w:rsid w:val="00463750"/>
    <w:rsid w:val="00464027"/>
    <w:rsid w:val="004641CB"/>
    <w:rsid w:val="0046443B"/>
    <w:rsid w:val="004647D8"/>
    <w:rsid w:val="00464BC7"/>
    <w:rsid w:val="004651B8"/>
    <w:rsid w:val="00465580"/>
    <w:rsid w:val="00465972"/>
    <w:rsid w:val="00465B80"/>
    <w:rsid w:val="00465C81"/>
    <w:rsid w:val="00465E7E"/>
    <w:rsid w:val="0046695A"/>
    <w:rsid w:val="00466BB5"/>
    <w:rsid w:val="004672E8"/>
    <w:rsid w:val="0046758F"/>
    <w:rsid w:val="004677E9"/>
    <w:rsid w:val="004700A3"/>
    <w:rsid w:val="00470535"/>
    <w:rsid w:val="00471183"/>
    <w:rsid w:val="0047123C"/>
    <w:rsid w:val="004714F6"/>
    <w:rsid w:val="00471E38"/>
    <w:rsid w:val="0047289C"/>
    <w:rsid w:val="00472E22"/>
    <w:rsid w:val="00472F67"/>
    <w:rsid w:val="0047303A"/>
    <w:rsid w:val="00473625"/>
    <w:rsid w:val="004739A1"/>
    <w:rsid w:val="00473CB2"/>
    <w:rsid w:val="00474254"/>
    <w:rsid w:val="004742B5"/>
    <w:rsid w:val="0047430D"/>
    <w:rsid w:val="00474EA6"/>
    <w:rsid w:val="00474FDF"/>
    <w:rsid w:val="004751CC"/>
    <w:rsid w:val="00475688"/>
    <w:rsid w:val="004758F6"/>
    <w:rsid w:val="004759E3"/>
    <w:rsid w:val="00475C51"/>
    <w:rsid w:val="00476161"/>
    <w:rsid w:val="00476658"/>
    <w:rsid w:val="00476814"/>
    <w:rsid w:val="00476E34"/>
    <w:rsid w:val="00476EE1"/>
    <w:rsid w:val="00477163"/>
    <w:rsid w:val="004774A5"/>
    <w:rsid w:val="00477898"/>
    <w:rsid w:val="00477B0E"/>
    <w:rsid w:val="00480195"/>
    <w:rsid w:val="00480921"/>
    <w:rsid w:val="00481688"/>
    <w:rsid w:val="00481A32"/>
    <w:rsid w:val="00481CC8"/>
    <w:rsid w:val="004820E0"/>
    <w:rsid w:val="004822CA"/>
    <w:rsid w:val="0048261A"/>
    <w:rsid w:val="00482779"/>
    <w:rsid w:val="00482A1F"/>
    <w:rsid w:val="0048385A"/>
    <w:rsid w:val="00483A8E"/>
    <w:rsid w:val="00483F95"/>
    <w:rsid w:val="00484D20"/>
    <w:rsid w:val="004850C1"/>
    <w:rsid w:val="0048518E"/>
    <w:rsid w:val="00485DDF"/>
    <w:rsid w:val="00486A3D"/>
    <w:rsid w:val="00486F54"/>
    <w:rsid w:val="00487038"/>
    <w:rsid w:val="004871B4"/>
    <w:rsid w:val="004876DD"/>
    <w:rsid w:val="00487C99"/>
    <w:rsid w:val="004915E6"/>
    <w:rsid w:val="0049178A"/>
    <w:rsid w:val="004917FC"/>
    <w:rsid w:val="00491C1D"/>
    <w:rsid w:val="00491DF1"/>
    <w:rsid w:val="00491FE1"/>
    <w:rsid w:val="00491FF1"/>
    <w:rsid w:val="00492535"/>
    <w:rsid w:val="00492696"/>
    <w:rsid w:val="00492EBB"/>
    <w:rsid w:val="00493435"/>
    <w:rsid w:val="004937CB"/>
    <w:rsid w:val="00494B28"/>
    <w:rsid w:val="0049527B"/>
    <w:rsid w:val="004955A9"/>
    <w:rsid w:val="004956EE"/>
    <w:rsid w:val="00495CF9"/>
    <w:rsid w:val="00495EAF"/>
    <w:rsid w:val="00495FFF"/>
    <w:rsid w:val="0049613A"/>
    <w:rsid w:val="0049626A"/>
    <w:rsid w:val="00496705"/>
    <w:rsid w:val="00496A9F"/>
    <w:rsid w:val="00497270"/>
    <w:rsid w:val="00497358"/>
    <w:rsid w:val="00497AC9"/>
    <w:rsid w:val="00497B2E"/>
    <w:rsid w:val="00497D6F"/>
    <w:rsid w:val="00497FA5"/>
    <w:rsid w:val="004A0036"/>
    <w:rsid w:val="004A03B3"/>
    <w:rsid w:val="004A04D5"/>
    <w:rsid w:val="004A0792"/>
    <w:rsid w:val="004A1387"/>
    <w:rsid w:val="004A1B07"/>
    <w:rsid w:val="004A21D8"/>
    <w:rsid w:val="004A2756"/>
    <w:rsid w:val="004A2DE9"/>
    <w:rsid w:val="004A2E04"/>
    <w:rsid w:val="004A3226"/>
    <w:rsid w:val="004A399F"/>
    <w:rsid w:val="004A4096"/>
    <w:rsid w:val="004A40C1"/>
    <w:rsid w:val="004A4692"/>
    <w:rsid w:val="004A502C"/>
    <w:rsid w:val="004A5582"/>
    <w:rsid w:val="004A669F"/>
    <w:rsid w:val="004A6842"/>
    <w:rsid w:val="004A718C"/>
    <w:rsid w:val="004A7DBE"/>
    <w:rsid w:val="004A7F94"/>
    <w:rsid w:val="004B0209"/>
    <w:rsid w:val="004B08AC"/>
    <w:rsid w:val="004B0B18"/>
    <w:rsid w:val="004B0D88"/>
    <w:rsid w:val="004B0DE3"/>
    <w:rsid w:val="004B0E03"/>
    <w:rsid w:val="004B0FF1"/>
    <w:rsid w:val="004B14D9"/>
    <w:rsid w:val="004B1574"/>
    <w:rsid w:val="004B206E"/>
    <w:rsid w:val="004B229E"/>
    <w:rsid w:val="004B271B"/>
    <w:rsid w:val="004B29C2"/>
    <w:rsid w:val="004B29E1"/>
    <w:rsid w:val="004B2C52"/>
    <w:rsid w:val="004B2F46"/>
    <w:rsid w:val="004B395D"/>
    <w:rsid w:val="004B3D50"/>
    <w:rsid w:val="004B4194"/>
    <w:rsid w:val="004B457E"/>
    <w:rsid w:val="004B5447"/>
    <w:rsid w:val="004B55F0"/>
    <w:rsid w:val="004B56C3"/>
    <w:rsid w:val="004B5E0F"/>
    <w:rsid w:val="004B6377"/>
    <w:rsid w:val="004B656C"/>
    <w:rsid w:val="004B6928"/>
    <w:rsid w:val="004B6AA6"/>
    <w:rsid w:val="004B754D"/>
    <w:rsid w:val="004B79FA"/>
    <w:rsid w:val="004B7D94"/>
    <w:rsid w:val="004C0FB7"/>
    <w:rsid w:val="004C104B"/>
    <w:rsid w:val="004C12B2"/>
    <w:rsid w:val="004C164A"/>
    <w:rsid w:val="004C2C65"/>
    <w:rsid w:val="004C2E14"/>
    <w:rsid w:val="004C2FE3"/>
    <w:rsid w:val="004C305A"/>
    <w:rsid w:val="004C31B4"/>
    <w:rsid w:val="004C333D"/>
    <w:rsid w:val="004C35EF"/>
    <w:rsid w:val="004C37ED"/>
    <w:rsid w:val="004C3BCF"/>
    <w:rsid w:val="004C4049"/>
    <w:rsid w:val="004C45B3"/>
    <w:rsid w:val="004C4829"/>
    <w:rsid w:val="004C4D30"/>
    <w:rsid w:val="004C4EAB"/>
    <w:rsid w:val="004C4F4F"/>
    <w:rsid w:val="004C5570"/>
    <w:rsid w:val="004C5BD0"/>
    <w:rsid w:val="004C5D52"/>
    <w:rsid w:val="004C5DB0"/>
    <w:rsid w:val="004C60D8"/>
    <w:rsid w:val="004C62EE"/>
    <w:rsid w:val="004C6A0D"/>
    <w:rsid w:val="004C6DDD"/>
    <w:rsid w:val="004C7592"/>
    <w:rsid w:val="004D0C1E"/>
    <w:rsid w:val="004D0FCC"/>
    <w:rsid w:val="004D1000"/>
    <w:rsid w:val="004D1561"/>
    <w:rsid w:val="004D1D27"/>
    <w:rsid w:val="004D2A5A"/>
    <w:rsid w:val="004D2EC3"/>
    <w:rsid w:val="004D2FF6"/>
    <w:rsid w:val="004D3FD6"/>
    <w:rsid w:val="004D405F"/>
    <w:rsid w:val="004D55CA"/>
    <w:rsid w:val="004D5A27"/>
    <w:rsid w:val="004D5F0E"/>
    <w:rsid w:val="004D6626"/>
    <w:rsid w:val="004D6758"/>
    <w:rsid w:val="004D6D6D"/>
    <w:rsid w:val="004D732E"/>
    <w:rsid w:val="004D7B1A"/>
    <w:rsid w:val="004E0830"/>
    <w:rsid w:val="004E169C"/>
    <w:rsid w:val="004E1BF0"/>
    <w:rsid w:val="004E1E51"/>
    <w:rsid w:val="004E1E6A"/>
    <w:rsid w:val="004E220F"/>
    <w:rsid w:val="004E28E1"/>
    <w:rsid w:val="004E2B01"/>
    <w:rsid w:val="004E34C7"/>
    <w:rsid w:val="004E356A"/>
    <w:rsid w:val="004E375D"/>
    <w:rsid w:val="004E3850"/>
    <w:rsid w:val="004E3FC1"/>
    <w:rsid w:val="004E4813"/>
    <w:rsid w:val="004E58EA"/>
    <w:rsid w:val="004E5F65"/>
    <w:rsid w:val="004E6C7A"/>
    <w:rsid w:val="004E74D3"/>
    <w:rsid w:val="004E7615"/>
    <w:rsid w:val="004E79F7"/>
    <w:rsid w:val="004E7CDF"/>
    <w:rsid w:val="004F00E5"/>
    <w:rsid w:val="004F02AF"/>
    <w:rsid w:val="004F0570"/>
    <w:rsid w:val="004F078C"/>
    <w:rsid w:val="004F1053"/>
    <w:rsid w:val="004F1087"/>
    <w:rsid w:val="004F1324"/>
    <w:rsid w:val="004F1A03"/>
    <w:rsid w:val="004F1A8F"/>
    <w:rsid w:val="004F1B7A"/>
    <w:rsid w:val="004F1C06"/>
    <w:rsid w:val="004F1C7D"/>
    <w:rsid w:val="004F1D24"/>
    <w:rsid w:val="004F1DD7"/>
    <w:rsid w:val="004F21D2"/>
    <w:rsid w:val="004F2540"/>
    <w:rsid w:val="004F2641"/>
    <w:rsid w:val="004F27F3"/>
    <w:rsid w:val="004F29B9"/>
    <w:rsid w:val="004F2B8E"/>
    <w:rsid w:val="004F2C85"/>
    <w:rsid w:val="004F2FA3"/>
    <w:rsid w:val="004F32BF"/>
    <w:rsid w:val="004F3C22"/>
    <w:rsid w:val="004F3CC7"/>
    <w:rsid w:val="004F3E6A"/>
    <w:rsid w:val="004F4083"/>
    <w:rsid w:val="004F4110"/>
    <w:rsid w:val="004F4426"/>
    <w:rsid w:val="004F469D"/>
    <w:rsid w:val="004F5346"/>
    <w:rsid w:val="004F5773"/>
    <w:rsid w:val="004F5C09"/>
    <w:rsid w:val="004F5E4E"/>
    <w:rsid w:val="004F6057"/>
    <w:rsid w:val="004F63CC"/>
    <w:rsid w:val="004F6678"/>
    <w:rsid w:val="004F6B28"/>
    <w:rsid w:val="004F6C65"/>
    <w:rsid w:val="004F6D2E"/>
    <w:rsid w:val="004F74E2"/>
    <w:rsid w:val="004F797A"/>
    <w:rsid w:val="004F7F0F"/>
    <w:rsid w:val="004F7FBC"/>
    <w:rsid w:val="005001AE"/>
    <w:rsid w:val="005007E7"/>
    <w:rsid w:val="005010CB"/>
    <w:rsid w:val="00501278"/>
    <w:rsid w:val="005012FC"/>
    <w:rsid w:val="00501CDC"/>
    <w:rsid w:val="00501E6C"/>
    <w:rsid w:val="00501EBE"/>
    <w:rsid w:val="00503551"/>
    <w:rsid w:val="00503963"/>
    <w:rsid w:val="00503F38"/>
    <w:rsid w:val="005043FC"/>
    <w:rsid w:val="00504A55"/>
    <w:rsid w:val="00504B31"/>
    <w:rsid w:val="00505A1E"/>
    <w:rsid w:val="00505AC6"/>
    <w:rsid w:val="00505F08"/>
    <w:rsid w:val="0050671D"/>
    <w:rsid w:val="0050672C"/>
    <w:rsid w:val="00506C0C"/>
    <w:rsid w:val="00506C4C"/>
    <w:rsid w:val="0050700E"/>
    <w:rsid w:val="00507366"/>
    <w:rsid w:val="00507909"/>
    <w:rsid w:val="005079D7"/>
    <w:rsid w:val="00507B2A"/>
    <w:rsid w:val="00507D3E"/>
    <w:rsid w:val="00510A22"/>
    <w:rsid w:val="00510D8A"/>
    <w:rsid w:val="00511D6B"/>
    <w:rsid w:val="00511EBC"/>
    <w:rsid w:val="005125D5"/>
    <w:rsid w:val="00512D51"/>
    <w:rsid w:val="00512E95"/>
    <w:rsid w:val="00514674"/>
    <w:rsid w:val="0051477F"/>
    <w:rsid w:val="00514C46"/>
    <w:rsid w:val="00514DDC"/>
    <w:rsid w:val="005151C3"/>
    <w:rsid w:val="005156B8"/>
    <w:rsid w:val="005157C5"/>
    <w:rsid w:val="00515BCF"/>
    <w:rsid w:val="00516083"/>
    <w:rsid w:val="0051635A"/>
    <w:rsid w:val="0051646E"/>
    <w:rsid w:val="005166C3"/>
    <w:rsid w:val="00516A18"/>
    <w:rsid w:val="00516BD0"/>
    <w:rsid w:val="00516EA5"/>
    <w:rsid w:val="005179DA"/>
    <w:rsid w:val="00517E2A"/>
    <w:rsid w:val="00520AD7"/>
    <w:rsid w:val="00520C1C"/>
    <w:rsid w:val="00521439"/>
    <w:rsid w:val="00522133"/>
    <w:rsid w:val="0052292E"/>
    <w:rsid w:val="005229C6"/>
    <w:rsid w:val="00522A3A"/>
    <w:rsid w:val="00522D88"/>
    <w:rsid w:val="005232E0"/>
    <w:rsid w:val="0052373B"/>
    <w:rsid w:val="00523CFF"/>
    <w:rsid w:val="00523E00"/>
    <w:rsid w:val="0052439F"/>
    <w:rsid w:val="005243EB"/>
    <w:rsid w:val="00525789"/>
    <w:rsid w:val="00525890"/>
    <w:rsid w:val="005258E2"/>
    <w:rsid w:val="00526452"/>
    <w:rsid w:val="00526816"/>
    <w:rsid w:val="00526B0D"/>
    <w:rsid w:val="00526F09"/>
    <w:rsid w:val="0052733A"/>
    <w:rsid w:val="00527DF9"/>
    <w:rsid w:val="00527F4F"/>
    <w:rsid w:val="00530512"/>
    <w:rsid w:val="00530799"/>
    <w:rsid w:val="0053109F"/>
    <w:rsid w:val="005311E8"/>
    <w:rsid w:val="005312C4"/>
    <w:rsid w:val="0053133A"/>
    <w:rsid w:val="005316A4"/>
    <w:rsid w:val="00531822"/>
    <w:rsid w:val="00531AF5"/>
    <w:rsid w:val="00531BAF"/>
    <w:rsid w:val="00532375"/>
    <w:rsid w:val="005326D0"/>
    <w:rsid w:val="005327CB"/>
    <w:rsid w:val="00532800"/>
    <w:rsid w:val="005328BC"/>
    <w:rsid w:val="00532A80"/>
    <w:rsid w:val="00532FDA"/>
    <w:rsid w:val="00533E26"/>
    <w:rsid w:val="00533EE8"/>
    <w:rsid w:val="005340DB"/>
    <w:rsid w:val="0053417D"/>
    <w:rsid w:val="0053490C"/>
    <w:rsid w:val="005349A0"/>
    <w:rsid w:val="00535585"/>
    <w:rsid w:val="005357C2"/>
    <w:rsid w:val="00536A58"/>
    <w:rsid w:val="00536AB4"/>
    <w:rsid w:val="00536F48"/>
    <w:rsid w:val="00537022"/>
    <w:rsid w:val="00537060"/>
    <w:rsid w:val="00537127"/>
    <w:rsid w:val="0053727D"/>
    <w:rsid w:val="0053764B"/>
    <w:rsid w:val="00537958"/>
    <w:rsid w:val="00540069"/>
    <w:rsid w:val="005400AE"/>
    <w:rsid w:val="0054069F"/>
    <w:rsid w:val="00541307"/>
    <w:rsid w:val="00541B0B"/>
    <w:rsid w:val="00541B60"/>
    <w:rsid w:val="00541CFE"/>
    <w:rsid w:val="00541DB8"/>
    <w:rsid w:val="00541F9A"/>
    <w:rsid w:val="00542599"/>
    <w:rsid w:val="00542EB4"/>
    <w:rsid w:val="0054348D"/>
    <w:rsid w:val="0054351C"/>
    <w:rsid w:val="0054362E"/>
    <w:rsid w:val="00543774"/>
    <w:rsid w:val="00543833"/>
    <w:rsid w:val="00543E4D"/>
    <w:rsid w:val="005448B9"/>
    <w:rsid w:val="00544C51"/>
    <w:rsid w:val="00545136"/>
    <w:rsid w:val="005452C1"/>
    <w:rsid w:val="00545698"/>
    <w:rsid w:val="00545B42"/>
    <w:rsid w:val="0054612B"/>
    <w:rsid w:val="005466DF"/>
    <w:rsid w:val="00546773"/>
    <w:rsid w:val="00547753"/>
    <w:rsid w:val="005479F5"/>
    <w:rsid w:val="00547C19"/>
    <w:rsid w:val="00547D90"/>
    <w:rsid w:val="005501E4"/>
    <w:rsid w:val="005506E4"/>
    <w:rsid w:val="005508EF"/>
    <w:rsid w:val="005510E3"/>
    <w:rsid w:val="0055173F"/>
    <w:rsid w:val="005517FD"/>
    <w:rsid w:val="00551AE8"/>
    <w:rsid w:val="00551D57"/>
    <w:rsid w:val="00552AFD"/>
    <w:rsid w:val="00552E11"/>
    <w:rsid w:val="00552E8A"/>
    <w:rsid w:val="00552FEB"/>
    <w:rsid w:val="0055326B"/>
    <w:rsid w:val="005532A3"/>
    <w:rsid w:val="00553395"/>
    <w:rsid w:val="00553567"/>
    <w:rsid w:val="005538EF"/>
    <w:rsid w:val="0055400F"/>
    <w:rsid w:val="00554019"/>
    <w:rsid w:val="005548DD"/>
    <w:rsid w:val="005549C2"/>
    <w:rsid w:val="00554DDC"/>
    <w:rsid w:val="00555425"/>
    <w:rsid w:val="00555500"/>
    <w:rsid w:val="00555CEE"/>
    <w:rsid w:val="00555FC3"/>
    <w:rsid w:val="00556027"/>
    <w:rsid w:val="00556340"/>
    <w:rsid w:val="00556461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8D4"/>
    <w:rsid w:val="00560A86"/>
    <w:rsid w:val="00561C64"/>
    <w:rsid w:val="00561D64"/>
    <w:rsid w:val="00562173"/>
    <w:rsid w:val="0056218D"/>
    <w:rsid w:val="0056255F"/>
    <w:rsid w:val="00562E4D"/>
    <w:rsid w:val="00562EAD"/>
    <w:rsid w:val="00563222"/>
    <w:rsid w:val="0056367C"/>
    <w:rsid w:val="00563AEB"/>
    <w:rsid w:val="005642AA"/>
    <w:rsid w:val="00564321"/>
    <w:rsid w:val="00564775"/>
    <w:rsid w:val="00565150"/>
    <w:rsid w:val="00566C28"/>
    <w:rsid w:val="00566EBC"/>
    <w:rsid w:val="005671BC"/>
    <w:rsid w:val="005673A1"/>
    <w:rsid w:val="00567500"/>
    <w:rsid w:val="0056753D"/>
    <w:rsid w:val="005675E2"/>
    <w:rsid w:val="00567811"/>
    <w:rsid w:val="00567CDA"/>
    <w:rsid w:val="00567DEE"/>
    <w:rsid w:val="00567E8F"/>
    <w:rsid w:val="00570163"/>
    <w:rsid w:val="005701B3"/>
    <w:rsid w:val="005702BD"/>
    <w:rsid w:val="005704B1"/>
    <w:rsid w:val="005709FC"/>
    <w:rsid w:val="00570EF4"/>
    <w:rsid w:val="005711BE"/>
    <w:rsid w:val="005719AC"/>
    <w:rsid w:val="0057259F"/>
    <w:rsid w:val="00572749"/>
    <w:rsid w:val="005739F4"/>
    <w:rsid w:val="00573A7F"/>
    <w:rsid w:val="00573EE1"/>
    <w:rsid w:val="00573EEA"/>
    <w:rsid w:val="0057406C"/>
    <w:rsid w:val="005744B2"/>
    <w:rsid w:val="00575051"/>
    <w:rsid w:val="0057554B"/>
    <w:rsid w:val="005758E3"/>
    <w:rsid w:val="00576069"/>
    <w:rsid w:val="00576AD5"/>
    <w:rsid w:val="00576D35"/>
    <w:rsid w:val="005775C0"/>
    <w:rsid w:val="005777C8"/>
    <w:rsid w:val="00577AD5"/>
    <w:rsid w:val="00577F23"/>
    <w:rsid w:val="00580414"/>
    <w:rsid w:val="00580A50"/>
    <w:rsid w:val="00580A72"/>
    <w:rsid w:val="0058107B"/>
    <w:rsid w:val="0058149F"/>
    <w:rsid w:val="0058161B"/>
    <w:rsid w:val="0058165B"/>
    <w:rsid w:val="005817A5"/>
    <w:rsid w:val="00581B22"/>
    <w:rsid w:val="00581DF3"/>
    <w:rsid w:val="0058256F"/>
    <w:rsid w:val="00582853"/>
    <w:rsid w:val="00582893"/>
    <w:rsid w:val="00582C76"/>
    <w:rsid w:val="00583496"/>
    <w:rsid w:val="00583706"/>
    <w:rsid w:val="00583A87"/>
    <w:rsid w:val="00583AF1"/>
    <w:rsid w:val="00583CCB"/>
    <w:rsid w:val="00583D99"/>
    <w:rsid w:val="0058403B"/>
    <w:rsid w:val="00584270"/>
    <w:rsid w:val="005842BA"/>
    <w:rsid w:val="005843E6"/>
    <w:rsid w:val="005845FA"/>
    <w:rsid w:val="00584AC0"/>
    <w:rsid w:val="00585C21"/>
    <w:rsid w:val="00585FAC"/>
    <w:rsid w:val="00586B7C"/>
    <w:rsid w:val="00586E72"/>
    <w:rsid w:val="00586F8F"/>
    <w:rsid w:val="005874CD"/>
    <w:rsid w:val="00587515"/>
    <w:rsid w:val="00587597"/>
    <w:rsid w:val="00587A79"/>
    <w:rsid w:val="00587AAF"/>
    <w:rsid w:val="00587B8C"/>
    <w:rsid w:val="00587DF6"/>
    <w:rsid w:val="00590753"/>
    <w:rsid w:val="00590918"/>
    <w:rsid w:val="00590D18"/>
    <w:rsid w:val="00590EDD"/>
    <w:rsid w:val="005913C2"/>
    <w:rsid w:val="00591988"/>
    <w:rsid w:val="00591EBD"/>
    <w:rsid w:val="0059217A"/>
    <w:rsid w:val="005921C8"/>
    <w:rsid w:val="005922A3"/>
    <w:rsid w:val="0059239E"/>
    <w:rsid w:val="005924C4"/>
    <w:rsid w:val="005924DB"/>
    <w:rsid w:val="005929E8"/>
    <w:rsid w:val="00592A2E"/>
    <w:rsid w:val="00592BF2"/>
    <w:rsid w:val="005930CE"/>
    <w:rsid w:val="00593155"/>
    <w:rsid w:val="0059353B"/>
    <w:rsid w:val="005937E5"/>
    <w:rsid w:val="005938DB"/>
    <w:rsid w:val="005949FB"/>
    <w:rsid w:val="00594C1A"/>
    <w:rsid w:val="00594E4A"/>
    <w:rsid w:val="00595106"/>
    <w:rsid w:val="0059552E"/>
    <w:rsid w:val="00595692"/>
    <w:rsid w:val="005956E4"/>
    <w:rsid w:val="0059573E"/>
    <w:rsid w:val="00595789"/>
    <w:rsid w:val="00595B7B"/>
    <w:rsid w:val="00596020"/>
    <w:rsid w:val="0059632F"/>
    <w:rsid w:val="005967A2"/>
    <w:rsid w:val="005971A2"/>
    <w:rsid w:val="00597799"/>
    <w:rsid w:val="005977F9"/>
    <w:rsid w:val="00597BA8"/>
    <w:rsid w:val="005A01E7"/>
    <w:rsid w:val="005A02C8"/>
    <w:rsid w:val="005A08EF"/>
    <w:rsid w:val="005A09E5"/>
    <w:rsid w:val="005A1473"/>
    <w:rsid w:val="005A19FF"/>
    <w:rsid w:val="005A1A96"/>
    <w:rsid w:val="005A2074"/>
    <w:rsid w:val="005A24AE"/>
    <w:rsid w:val="005A2711"/>
    <w:rsid w:val="005A3394"/>
    <w:rsid w:val="005A3AD9"/>
    <w:rsid w:val="005A403A"/>
    <w:rsid w:val="005A41F7"/>
    <w:rsid w:val="005A43BE"/>
    <w:rsid w:val="005A4624"/>
    <w:rsid w:val="005A5011"/>
    <w:rsid w:val="005A508D"/>
    <w:rsid w:val="005A5E4B"/>
    <w:rsid w:val="005A5F3B"/>
    <w:rsid w:val="005A60BA"/>
    <w:rsid w:val="005A6E09"/>
    <w:rsid w:val="005A7235"/>
    <w:rsid w:val="005A73D4"/>
    <w:rsid w:val="005A7550"/>
    <w:rsid w:val="005A761B"/>
    <w:rsid w:val="005A79F3"/>
    <w:rsid w:val="005B05A2"/>
    <w:rsid w:val="005B096F"/>
    <w:rsid w:val="005B0987"/>
    <w:rsid w:val="005B0FB5"/>
    <w:rsid w:val="005B1191"/>
    <w:rsid w:val="005B1205"/>
    <w:rsid w:val="005B1D3B"/>
    <w:rsid w:val="005B2088"/>
    <w:rsid w:val="005B2466"/>
    <w:rsid w:val="005B2BBB"/>
    <w:rsid w:val="005B2BF5"/>
    <w:rsid w:val="005B2F06"/>
    <w:rsid w:val="005B2FD3"/>
    <w:rsid w:val="005B3533"/>
    <w:rsid w:val="005B3C9E"/>
    <w:rsid w:val="005B41B3"/>
    <w:rsid w:val="005B4289"/>
    <w:rsid w:val="005B47AD"/>
    <w:rsid w:val="005B4BDC"/>
    <w:rsid w:val="005B5926"/>
    <w:rsid w:val="005B5A74"/>
    <w:rsid w:val="005B5D00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89E"/>
    <w:rsid w:val="005B7F6E"/>
    <w:rsid w:val="005C02AD"/>
    <w:rsid w:val="005C043D"/>
    <w:rsid w:val="005C0C11"/>
    <w:rsid w:val="005C12AC"/>
    <w:rsid w:val="005C1C90"/>
    <w:rsid w:val="005C1CEF"/>
    <w:rsid w:val="005C1EF5"/>
    <w:rsid w:val="005C25B4"/>
    <w:rsid w:val="005C27DD"/>
    <w:rsid w:val="005C3964"/>
    <w:rsid w:val="005C3D4A"/>
    <w:rsid w:val="005C428A"/>
    <w:rsid w:val="005C4330"/>
    <w:rsid w:val="005C4787"/>
    <w:rsid w:val="005C4997"/>
    <w:rsid w:val="005C5113"/>
    <w:rsid w:val="005C54B8"/>
    <w:rsid w:val="005C557C"/>
    <w:rsid w:val="005C56B7"/>
    <w:rsid w:val="005C59BB"/>
    <w:rsid w:val="005C5CDF"/>
    <w:rsid w:val="005C677E"/>
    <w:rsid w:val="005C6CD0"/>
    <w:rsid w:val="005C7072"/>
    <w:rsid w:val="005C759E"/>
    <w:rsid w:val="005C76FC"/>
    <w:rsid w:val="005C785E"/>
    <w:rsid w:val="005C78D5"/>
    <w:rsid w:val="005D00B6"/>
    <w:rsid w:val="005D0D8B"/>
    <w:rsid w:val="005D0F17"/>
    <w:rsid w:val="005D101F"/>
    <w:rsid w:val="005D1247"/>
    <w:rsid w:val="005D1D60"/>
    <w:rsid w:val="005D205D"/>
    <w:rsid w:val="005D2111"/>
    <w:rsid w:val="005D290E"/>
    <w:rsid w:val="005D2F54"/>
    <w:rsid w:val="005D33D2"/>
    <w:rsid w:val="005D344E"/>
    <w:rsid w:val="005D353D"/>
    <w:rsid w:val="005D3FD5"/>
    <w:rsid w:val="005D593D"/>
    <w:rsid w:val="005D5AC4"/>
    <w:rsid w:val="005D5D35"/>
    <w:rsid w:val="005D63A5"/>
    <w:rsid w:val="005D64AA"/>
    <w:rsid w:val="005D69A4"/>
    <w:rsid w:val="005D79B5"/>
    <w:rsid w:val="005D7BDA"/>
    <w:rsid w:val="005E0243"/>
    <w:rsid w:val="005E0A1F"/>
    <w:rsid w:val="005E0DEA"/>
    <w:rsid w:val="005E0FF7"/>
    <w:rsid w:val="005E1058"/>
    <w:rsid w:val="005E1667"/>
    <w:rsid w:val="005E17B3"/>
    <w:rsid w:val="005E1990"/>
    <w:rsid w:val="005E1BB5"/>
    <w:rsid w:val="005E1BD6"/>
    <w:rsid w:val="005E1D1D"/>
    <w:rsid w:val="005E20D0"/>
    <w:rsid w:val="005E2400"/>
    <w:rsid w:val="005E2594"/>
    <w:rsid w:val="005E2A79"/>
    <w:rsid w:val="005E2D15"/>
    <w:rsid w:val="005E2EDB"/>
    <w:rsid w:val="005E2FB1"/>
    <w:rsid w:val="005E328E"/>
    <w:rsid w:val="005E36F2"/>
    <w:rsid w:val="005E3850"/>
    <w:rsid w:val="005E3EB4"/>
    <w:rsid w:val="005E3FEB"/>
    <w:rsid w:val="005E40C8"/>
    <w:rsid w:val="005E43DF"/>
    <w:rsid w:val="005E455E"/>
    <w:rsid w:val="005E48DE"/>
    <w:rsid w:val="005E566F"/>
    <w:rsid w:val="005E5EB1"/>
    <w:rsid w:val="005E64AF"/>
    <w:rsid w:val="005E6BE9"/>
    <w:rsid w:val="005E71A5"/>
    <w:rsid w:val="005E7221"/>
    <w:rsid w:val="005E740C"/>
    <w:rsid w:val="005E777B"/>
    <w:rsid w:val="005E793F"/>
    <w:rsid w:val="005F03D5"/>
    <w:rsid w:val="005F0860"/>
    <w:rsid w:val="005F0C9C"/>
    <w:rsid w:val="005F14A7"/>
    <w:rsid w:val="005F1B20"/>
    <w:rsid w:val="005F1E18"/>
    <w:rsid w:val="005F27E0"/>
    <w:rsid w:val="005F2907"/>
    <w:rsid w:val="005F29C0"/>
    <w:rsid w:val="005F2A66"/>
    <w:rsid w:val="005F2B32"/>
    <w:rsid w:val="005F3176"/>
    <w:rsid w:val="005F3549"/>
    <w:rsid w:val="005F3D56"/>
    <w:rsid w:val="005F3D8C"/>
    <w:rsid w:val="005F3EC6"/>
    <w:rsid w:val="005F44BD"/>
    <w:rsid w:val="005F54B4"/>
    <w:rsid w:val="005F5576"/>
    <w:rsid w:val="005F57AB"/>
    <w:rsid w:val="005F5A4E"/>
    <w:rsid w:val="005F5A6F"/>
    <w:rsid w:val="005F5BE9"/>
    <w:rsid w:val="005F5C6D"/>
    <w:rsid w:val="005F5E8E"/>
    <w:rsid w:val="005F60E6"/>
    <w:rsid w:val="005F61DD"/>
    <w:rsid w:val="005F63D8"/>
    <w:rsid w:val="005F764A"/>
    <w:rsid w:val="0060008E"/>
    <w:rsid w:val="006005C1"/>
    <w:rsid w:val="00600B42"/>
    <w:rsid w:val="00600CE1"/>
    <w:rsid w:val="006011A0"/>
    <w:rsid w:val="00601C1B"/>
    <w:rsid w:val="00601CF8"/>
    <w:rsid w:val="00602A78"/>
    <w:rsid w:val="00602BCA"/>
    <w:rsid w:val="0060305F"/>
    <w:rsid w:val="006034C7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5B46"/>
    <w:rsid w:val="00606054"/>
    <w:rsid w:val="0060611E"/>
    <w:rsid w:val="006063E0"/>
    <w:rsid w:val="0060660B"/>
    <w:rsid w:val="00606906"/>
    <w:rsid w:val="00606EE7"/>
    <w:rsid w:val="00606FAA"/>
    <w:rsid w:val="00607C10"/>
    <w:rsid w:val="006103B7"/>
    <w:rsid w:val="00611BA6"/>
    <w:rsid w:val="006120BB"/>
    <w:rsid w:val="006129CC"/>
    <w:rsid w:val="00612D19"/>
    <w:rsid w:val="0061330F"/>
    <w:rsid w:val="00613641"/>
    <w:rsid w:val="00613BED"/>
    <w:rsid w:val="00614139"/>
    <w:rsid w:val="00614483"/>
    <w:rsid w:val="0061478C"/>
    <w:rsid w:val="0061516E"/>
    <w:rsid w:val="006151BC"/>
    <w:rsid w:val="00615204"/>
    <w:rsid w:val="006154F0"/>
    <w:rsid w:val="006156F3"/>
    <w:rsid w:val="00615E77"/>
    <w:rsid w:val="006162A3"/>
    <w:rsid w:val="00616436"/>
    <w:rsid w:val="006164FB"/>
    <w:rsid w:val="00616C7D"/>
    <w:rsid w:val="0061735F"/>
    <w:rsid w:val="00617A4A"/>
    <w:rsid w:val="0062041C"/>
    <w:rsid w:val="006205E1"/>
    <w:rsid w:val="006205F3"/>
    <w:rsid w:val="006208EE"/>
    <w:rsid w:val="0062091D"/>
    <w:rsid w:val="00620C44"/>
    <w:rsid w:val="0062100E"/>
    <w:rsid w:val="006211A5"/>
    <w:rsid w:val="00621529"/>
    <w:rsid w:val="006219BC"/>
    <w:rsid w:val="00621A95"/>
    <w:rsid w:val="00622134"/>
    <w:rsid w:val="006226AF"/>
    <w:rsid w:val="00622789"/>
    <w:rsid w:val="00623148"/>
    <w:rsid w:val="006233C1"/>
    <w:rsid w:val="006235B3"/>
    <w:rsid w:val="00623D75"/>
    <w:rsid w:val="006242E1"/>
    <w:rsid w:val="00624649"/>
    <w:rsid w:val="006249A7"/>
    <w:rsid w:val="006249D1"/>
    <w:rsid w:val="00624A95"/>
    <w:rsid w:val="00624B50"/>
    <w:rsid w:val="00624D4F"/>
    <w:rsid w:val="006251B8"/>
    <w:rsid w:val="00625713"/>
    <w:rsid w:val="006258D3"/>
    <w:rsid w:val="00625B22"/>
    <w:rsid w:val="00625C53"/>
    <w:rsid w:val="00625F83"/>
    <w:rsid w:val="00626415"/>
    <w:rsid w:val="00626447"/>
    <w:rsid w:val="0062692A"/>
    <w:rsid w:val="0062768B"/>
    <w:rsid w:val="00627827"/>
    <w:rsid w:val="00627A49"/>
    <w:rsid w:val="00627AF9"/>
    <w:rsid w:val="00627D2B"/>
    <w:rsid w:val="00627D60"/>
    <w:rsid w:val="00627E30"/>
    <w:rsid w:val="00630169"/>
    <w:rsid w:val="006303FC"/>
    <w:rsid w:val="006309D1"/>
    <w:rsid w:val="00630E40"/>
    <w:rsid w:val="00631575"/>
    <w:rsid w:val="00631716"/>
    <w:rsid w:val="0063179F"/>
    <w:rsid w:val="006317A4"/>
    <w:rsid w:val="00632259"/>
    <w:rsid w:val="00632765"/>
    <w:rsid w:val="00632DD8"/>
    <w:rsid w:val="00633216"/>
    <w:rsid w:val="006338DA"/>
    <w:rsid w:val="0063390C"/>
    <w:rsid w:val="00633A02"/>
    <w:rsid w:val="00633A5E"/>
    <w:rsid w:val="00633F74"/>
    <w:rsid w:val="00634CEA"/>
    <w:rsid w:val="00635641"/>
    <w:rsid w:val="00635AEB"/>
    <w:rsid w:val="006367B7"/>
    <w:rsid w:val="00636E0F"/>
    <w:rsid w:val="00636EF8"/>
    <w:rsid w:val="00636FEF"/>
    <w:rsid w:val="0063715F"/>
    <w:rsid w:val="006371D4"/>
    <w:rsid w:val="006377DB"/>
    <w:rsid w:val="00637887"/>
    <w:rsid w:val="006405A2"/>
    <w:rsid w:val="00640699"/>
    <w:rsid w:val="0064083A"/>
    <w:rsid w:val="0064096C"/>
    <w:rsid w:val="006417E0"/>
    <w:rsid w:val="006418D2"/>
    <w:rsid w:val="006419D4"/>
    <w:rsid w:val="00641E1E"/>
    <w:rsid w:val="00642453"/>
    <w:rsid w:val="00642C54"/>
    <w:rsid w:val="00643299"/>
    <w:rsid w:val="00643331"/>
    <w:rsid w:val="006438BE"/>
    <w:rsid w:val="006443B2"/>
    <w:rsid w:val="00645210"/>
    <w:rsid w:val="0064522C"/>
    <w:rsid w:val="00645933"/>
    <w:rsid w:val="006459B3"/>
    <w:rsid w:val="00645D57"/>
    <w:rsid w:val="00646970"/>
    <w:rsid w:val="00646FDD"/>
    <w:rsid w:val="006476BA"/>
    <w:rsid w:val="00647883"/>
    <w:rsid w:val="00647C38"/>
    <w:rsid w:val="00647D39"/>
    <w:rsid w:val="006500A2"/>
    <w:rsid w:val="00650528"/>
    <w:rsid w:val="0065058D"/>
    <w:rsid w:val="00650C5E"/>
    <w:rsid w:val="00651147"/>
    <w:rsid w:val="0065131D"/>
    <w:rsid w:val="0065197E"/>
    <w:rsid w:val="00651DC1"/>
    <w:rsid w:val="00651FD6"/>
    <w:rsid w:val="0065234B"/>
    <w:rsid w:val="00652384"/>
    <w:rsid w:val="00652480"/>
    <w:rsid w:val="0065252C"/>
    <w:rsid w:val="0065299F"/>
    <w:rsid w:val="00652D51"/>
    <w:rsid w:val="00653761"/>
    <w:rsid w:val="00653A46"/>
    <w:rsid w:val="00653AC4"/>
    <w:rsid w:val="00653C52"/>
    <w:rsid w:val="006540C1"/>
    <w:rsid w:val="00654118"/>
    <w:rsid w:val="0065460C"/>
    <w:rsid w:val="00654642"/>
    <w:rsid w:val="00654A84"/>
    <w:rsid w:val="00654AF4"/>
    <w:rsid w:val="00654CB8"/>
    <w:rsid w:val="0065561D"/>
    <w:rsid w:val="006559AA"/>
    <w:rsid w:val="00655D2D"/>
    <w:rsid w:val="00655F61"/>
    <w:rsid w:val="006562F3"/>
    <w:rsid w:val="006565D3"/>
    <w:rsid w:val="006569F2"/>
    <w:rsid w:val="00656F36"/>
    <w:rsid w:val="00656F87"/>
    <w:rsid w:val="00656FC3"/>
    <w:rsid w:val="00657693"/>
    <w:rsid w:val="00657861"/>
    <w:rsid w:val="00657B05"/>
    <w:rsid w:val="00657B97"/>
    <w:rsid w:val="00660010"/>
    <w:rsid w:val="00660083"/>
    <w:rsid w:val="00660680"/>
    <w:rsid w:val="00660BFB"/>
    <w:rsid w:val="00660E23"/>
    <w:rsid w:val="00660F41"/>
    <w:rsid w:val="00662A70"/>
    <w:rsid w:val="00662AF9"/>
    <w:rsid w:val="00662C14"/>
    <w:rsid w:val="00662C97"/>
    <w:rsid w:val="00662CBB"/>
    <w:rsid w:val="00662F3E"/>
    <w:rsid w:val="0066314F"/>
    <w:rsid w:val="0066398B"/>
    <w:rsid w:val="00663F53"/>
    <w:rsid w:val="0066486A"/>
    <w:rsid w:val="00664D5F"/>
    <w:rsid w:val="00664E4F"/>
    <w:rsid w:val="0066527F"/>
    <w:rsid w:val="006655BB"/>
    <w:rsid w:val="00666754"/>
    <w:rsid w:val="0066685A"/>
    <w:rsid w:val="00666AEA"/>
    <w:rsid w:val="00666D37"/>
    <w:rsid w:val="0066706E"/>
    <w:rsid w:val="0066754C"/>
    <w:rsid w:val="00667754"/>
    <w:rsid w:val="00667D71"/>
    <w:rsid w:val="00667FB2"/>
    <w:rsid w:val="00670D2E"/>
    <w:rsid w:val="006715AD"/>
    <w:rsid w:val="00671F8A"/>
    <w:rsid w:val="0067269F"/>
    <w:rsid w:val="006726CB"/>
    <w:rsid w:val="0067272F"/>
    <w:rsid w:val="0067276D"/>
    <w:rsid w:val="00672E8B"/>
    <w:rsid w:val="00672FC9"/>
    <w:rsid w:val="00673632"/>
    <w:rsid w:val="00673881"/>
    <w:rsid w:val="00673BA4"/>
    <w:rsid w:val="00674C5D"/>
    <w:rsid w:val="00674ED8"/>
    <w:rsid w:val="00675533"/>
    <w:rsid w:val="00675793"/>
    <w:rsid w:val="006759A7"/>
    <w:rsid w:val="00675A1D"/>
    <w:rsid w:val="00675C5E"/>
    <w:rsid w:val="00676816"/>
    <w:rsid w:val="00676851"/>
    <w:rsid w:val="00676F0B"/>
    <w:rsid w:val="00676FEB"/>
    <w:rsid w:val="006773D1"/>
    <w:rsid w:val="006775DC"/>
    <w:rsid w:val="006801BB"/>
    <w:rsid w:val="006802E3"/>
    <w:rsid w:val="00680CC6"/>
    <w:rsid w:val="0068122E"/>
    <w:rsid w:val="00681322"/>
    <w:rsid w:val="0068241B"/>
    <w:rsid w:val="00683889"/>
    <w:rsid w:val="006838CA"/>
    <w:rsid w:val="00683B59"/>
    <w:rsid w:val="00683CC8"/>
    <w:rsid w:val="006842A2"/>
    <w:rsid w:val="006848BB"/>
    <w:rsid w:val="00684A44"/>
    <w:rsid w:val="00685075"/>
    <w:rsid w:val="00685339"/>
    <w:rsid w:val="00685597"/>
    <w:rsid w:val="00685716"/>
    <w:rsid w:val="006857EA"/>
    <w:rsid w:val="006859F4"/>
    <w:rsid w:val="00685FC6"/>
    <w:rsid w:val="00686338"/>
    <w:rsid w:val="00686B5E"/>
    <w:rsid w:val="0068731C"/>
    <w:rsid w:val="00687893"/>
    <w:rsid w:val="006904AD"/>
    <w:rsid w:val="006905CC"/>
    <w:rsid w:val="006905D5"/>
    <w:rsid w:val="006905F1"/>
    <w:rsid w:val="006912E6"/>
    <w:rsid w:val="00691355"/>
    <w:rsid w:val="006914E9"/>
    <w:rsid w:val="006915B5"/>
    <w:rsid w:val="00691815"/>
    <w:rsid w:val="00691822"/>
    <w:rsid w:val="00691E51"/>
    <w:rsid w:val="006920CA"/>
    <w:rsid w:val="00692419"/>
    <w:rsid w:val="006927F0"/>
    <w:rsid w:val="00692975"/>
    <w:rsid w:val="00692C4E"/>
    <w:rsid w:val="0069311E"/>
    <w:rsid w:val="006936DB"/>
    <w:rsid w:val="00693801"/>
    <w:rsid w:val="006943D0"/>
    <w:rsid w:val="006943E4"/>
    <w:rsid w:val="006944B8"/>
    <w:rsid w:val="00694706"/>
    <w:rsid w:val="00694C99"/>
    <w:rsid w:val="00694DF8"/>
    <w:rsid w:val="00694F6F"/>
    <w:rsid w:val="006956E0"/>
    <w:rsid w:val="00695D95"/>
    <w:rsid w:val="00695DDA"/>
    <w:rsid w:val="00696136"/>
    <w:rsid w:val="00696243"/>
    <w:rsid w:val="006962E6"/>
    <w:rsid w:val="0069657D"/>
    <w:rsid w:val="00696619"/>
    <w:rsid w:val="00696A8E"/>
    <w:rsid w:val="0069703E"/>
    <w:rsid w:val="00697208"/>
    <w:rsid w:val="00697A32"/>
    <w:rsid w:val="006A06E3"/>
    <w:rsid w:val="006A0962"/>
    <w:rsid w:val="006A0B03"/>
    <w:rsid w:val="006A0ECA"/>
    <w:rsid w:val="006A11F4"/>
    <w:rsid w:val="006A14A8"/>
    <w:rsid w:val="006A182D"/>
    <w:rsid w:val="006A1ADF"/>
    <w:rsid w:val="006A23AC"/>
    <w:rsid w:val="006A26DF"/>
    <w:rsid w:val="006A2835"/>
    <w:rsid w:val="006A3411"/>
    <w:rsid w:val="006A3A19"/>
    <w:rsid w:val="006A3B9E"/>
    <w:rsid w:val="006A3D6D"/>
    <w:rsid w:val="006A3D73"/>
    <w:rsid w:val="006A43EA"/>
    <w:rsid w:val="006A471A"/>
    <w:rsid w:val="006A5290"/>
    <w:rsid w:val="006A5C11"/>
    <w:rsid w:val="006A5FA6"/>
    <w:rsid w:val="006A6290"/>
    <w:rsid w:val="006A6A1A"/>
    <w:rsid w:val="006A6BAB"/>
    <w:rsid w:val="006A6C28"/>
    <w:rsid w:val="006A777A"/>
    <w:rsid w:val="006A7AE9"/>
    <w:rsid w:val="006A7C9D"/>
    <w:rsid w:val="006A7F1D"/>
    <w:rsid w:val="006B0264"/>
    <w:rsid w:val="006B0BF0"/>
    <w:rsid w:val="006B0D7E"/>
    <w:rsid w:val="006B1E59"/>
    <w:rsid w:val="006B269C"/>
    <w:rsid w:val="006B2995"/>
    <w:rsid w:val="006B2F13"/>
    <w:rsid w:val="006B3335"/>
    <w:rsid w:val="006B33FB"/>
    <w:rsid w:val="006B3EFD"/>
    <w:rsid w:val="006B40C8"/>
    <w:rsid w:val="006B472A"/>
    <w:rsid w:val="006B5149"/>
    <w:rsid w:val="006B549F"/>
    <w:rsid w:val="006B54EB"/>
    <w:rsid w:val="006B65CB"/>
    <w:rsid w:val="006B765D"/>
    <w:rsid w:val="006B767F"/>
    <w:rsid w:val="006B77ED"/>
    <w:rsid w:val="006C01F4"/>
    <w:rsid w:val="006C0867"/>
    <w:rsid w:val="006C12F3"/>
    <w:rsid w:val="006C1503"/>
    <w:rsid w:val="006C169B"/>
    <w:rsid w:val="006C215A"/>
    <w:rsid w:val="006C24C7"/>
    <w:rsid w:val="006C26DA"/>
    <w:rsid w:val="006C273C"/>
    <w:rsid w:val="006C2FF1"/>
    <w:rsid w:val="006C374A"/>
    <w:rsid w:val="006C3A0F"/>
    <w:rsid w:val="006C3B9C"/>
    <w:rsid w:val="006C479E"/>
    <w:rsid w:val="006C4A29"/>
    <w:rsid w:val="006C4A5F"/>
    <w:rsid w:val="006C54EE"/>
    <w:rsid w:val="006C565D"/>
    <w:rsid w:val="006C57FE"/>
    <w:rsid w:val="006C5AB5"/>
    <w:rsid w:val="006C6854"/>
    <w:rsid w:val="006C6DB0"/>
    <w:rsid w:val="006C6E36"/>
    <w:rsid w:val="006C705E"/>
    <w:rsid w:val="006C7216"/>
    <w:rsid w:val="006C7266"/>
    <w:rsid w:val="006C791E"/>
    <w:rsid w:val="006D045E"/>
    <w:rsid w:val="006D05F4"/>
    <w:rsid w:val="006D0777"/>
    <w:rsid w:val="006D0930"/>
    <w:rsid w:val="006D0B6D"/>
    <w:rsid w:val="006D1549"/>
    <w:rsid w:val="006D16EC"/>
    <w:rsid w:val="006D1A5F"/>
    <w:rsid w:val="006D1F0A"/>
    <w:rsid w:val="006D2320"/>
    <w:rsid w:val="006D2486"/>
    <w:rsid w:val="006D2638"/>
    <w:rsid w:val="006D3429"/>
    <w:rsid w:val="006D366D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65F5"/>
    <w:rsid w:val="006D6D76"/>
    <w:rsid w:val="006D7902"/>
    <w:rsid w:val="006D7C9D"/>
    <w:rsid w:val="006D7CD6"/>
    <w:rsid w:val="006D7D85"/>
    <w:rsid w:val="006E045E"/>
    <w:rsid w:val="006E04C4"/>
    <w:rsid w:val="006E0744"/>
    <w:rsid w:val="006E09E9"/>
    <w:rsid w:val="006E0B21"/>
    <w:rsid w:val="006E171B"/>
    <w:rsid w:val="006E1A8F"/>
    <w:rsid w:val="006E1B99"/>
    <w:rsid w:val="006E204E"/>
    <w:rsid w:val="006E2460"/>
    <w:rsid w:val="006E24C1"/>
    <w:rsid w:val="006E2C6D"/>
    <w:rsid w:val="006E32F2"/>
    <w:rsid w:val="006E33D2"/>
    <w:rsid w:val="006E374B"/>
    <w:rsid w:val="006E3B50"/>
    <w:rsid w:val="006E44D3"/>
    <w:rsid w:val="006E4705"/>
    <w:rsid w:val="006E470D"/>
    <w:rsid w:val="006E49DF"/>
    <w:rsid w:val="006E4BC0"/>
    <w:rsid w:val="006E4E81"/>
    <w:rsid w:val="006E5353"/>
    <w:rsid w:val="006E58CF"/>
    <w:rsid w:val="006E5AF0"/>
    <w:rsid w:val="006E6241"/>
    <w:rsid w:val="006E645F"/>
    <w:rsid w:val="006E6F3D"/>
    <w:rsid w:val="006F04B6"/>
    <w:rsid w:val="006F067D"/>
    <w:rsid w:val="006F117D"/>
    <w:rsid w:val="006F1195"/>
    <w:rsid w:val="006F1200"/>
    <w:rsid w:val="006F13F3"/>
    <w:rsid w:val="006F191B"/>
    <w:rsid w:val="006F1DBD"/>
    <w:rsid w:val="006F1E00"/>
    <w:rsid w:val="006F253F"/>
    <w:rsid w:val="006F301F"/>
    <w:rsid w:val="006F3419"/>
    <w:rsid w:val="006F4327"/>
    <w:rsid w:val="006F4661"/>
    <w:rsid w:val="006F48EA"/>
    <w:rsid w:val="006F4920"/>
    <w:rsid w:val="006F4F6A"/>
    <w:rsid w:val="006F51E0"/>
    <w:rsid w:val="006F5682"/>
    <w:rsid w:val="006F572D"/>
    <w:rsid w:val="006F5813"/>
    <w:rsid w:val="006F5820"/>
    <w:rsid w:val="006F5847"/>
    <w:rsid w:val="006F5B1A"/>
    <w:rsid w:val="006F5BB4"/>
    <w:rsid w:val="006F5F76"/>
    <w:rsid w:val="006F6159"/>
    <w:rsid w:val="006F6790"/>
    <w:rsid w:val="006F707D"/>
    <w:rsid w:val="006F7ADB"/>
    <w:rsid w:val="00700821"/>
    <w:rsid w:val="00700FEB"/>
    <w:rsid w:val="007010A7"/>
    <w:rsid w:val="007011D1"/>
    <w:rsid w:val="007011D8"/>
    <w:rsid w:val="00701ABE"/>
    <w:rsid w:val="00702723"/>
    <w:rsid w:val="00702788"/>
    <w:rsid w:val="00702BCA"/>
    <w:rsid w:val="0070303A"/>
    <w:rsid w:val="0070328F"/>
    <w:rsid w:val="007038ED"/>
    <w:rsid w:val="00703D47"/>
    <w:rsid w:val="00704346"/>
    <w:rsid w:val="00704404"/>
    <w:rsid w:val="00704464"/>
    <w:rsid w:val="00704527"/>
    <w:rsid w:val="00704894"/>
    <w:rsid w:val="0070522E"/>
    <w:rsid w:val="00705BD7"/>
    <w:rsid w:val="00706130"/>
    <w:rsid w:val="007061EC"/>
    <w:rsid w:val="00706461"/>
    <w:rsid w:val="007068C5"/>
    <w:rsid w:val="00706995"/>
    <w:rsid w:val="00706C3A"/>
    <w:rsid w:val="00706E1E"/>
    <w:rsid w:val="007071D4"/>
    <w:rsid w:val="0070728F"/>
    <w:rsid w:val="00707C37"/>
    <w:rsid w:val="00707DF8"/>
    <w:rsid w:val="00710164"/>
    <w:rsid w:val="00710167"/>
    <w:rsid w:val="0071054F"/>
    <w:rsid w:val="00710595"/>
    <w:rsid w:val="00710870"/>
    <w:rsid w:val="007110B3"/>
    <w:rsid w:val="00711A27"/>
    <w:rsid w:val="00712020"/>
    <w:rsid w:val="00712026"/>
    <w:rsid w:val="007121C0"/>
    <w:rsid w:val="00712638"/>
    <w:rsid w:val="0071276A"/>
    <w:rsid w:val="00712B22"/>
    <w:rsid w:val="00712D93"/>
    <w:rsid w:val="007139BF"/>
    <w:rsid w:val="00713C11"/>
    <w:rsid w:val="00714406"/>
    <w:rsid w:val="00714A38"/>
    <w:rsid w:val="00714A85"/>
    <w:rsid w:val="00714B10"/>
    <w:rsid w:val="00714B64"/>
    <w:rsid w:val="00714BA7"/>
    <w:rsid w:val="00714DBE"/>
    <w:rsid w:val="00714E26"/>
    <w:rsid w:val="00714F03"/>
    <w:rsid w:val="0071535B"/>
    <w:rsid w:val="00715C06"/>
    <w:rsid w:val="00715E95"/>
    <w:rsid w:val="007166F7"/>
    <w:rsid w:val="00716D4E"/>
    <w:rsid w:val="0071717E"/>
    <w:rsid w:val="0071735C"/>
    <w:rsid w:val="00717763"/>
    <w:rsid w:val="00720A2C"/>
    <w:rsid w:val="00720B85"/>
    <w:rsid w:val="00720C22"/>
    <w:rsid w:val="00720C6E"/>
    <w:rsid w:val="00720E58"/>
    <w:rsid w:val="00720E79"/>
    <w:rsid w:val="00720F9E"/>
    <w:rsid w:val="0072119E"/>
    <w:rsid w:val="007226B1"/>
    <w:rsid w:val="00722AC4"/>
    <w:rsid w:val="00722BE6"/>
    <w:rsid w:val="00722CD9"/>
    <w:rsid w:val="00722DC9"/>
    <w:rsid w:val="00722EF9"/>
    <w:rsid w:val="007232F1"/>
    <w:rsid w:val="00723F60"/>
    <w:rsid w:val="0072406F"/>
    <w:rsid w:val="0072454A"/>
    <w:rsid w:val="007245B1"/>
    <w:rsid w:val="00724952"/>
    <w:rsid w:val="00724CD4"/>
    <w:rsid w:val="00724CFE"/>
    <w:rsid w:val="0072502E"/>
    <w:rsid w:val="00725CA6"/>
    <w:rsid w:val="00725D1A"/>
    <w:rsid w:val="00725DF3"/>
    <w:rsid w:val="00725F4D"/>
    <w:rsid w:val="00726B7D"/>
    <w:rsid w:val="00727285"/>
    <w:rsid w:val="00727380"/>
    <w:rsid w:val="00727D91"/>
    <w:rsid w:val="00727E44"/>
    <w:rsid w:val="00730152"/>
    <w:rsid w:val="007301B7"/>
    <w:rsid w:val="0073071A"/>
    <w:rsid w:val="00730DD2"/>
    <w:rsid w:val="00730E03"/>
    <w:rsid w:val="007310E4"/>
    <w:rsid w:val="00731129"/>
    <w:rsid w:val="007313F9"/>
    <w:rsid w:val="00731D9E"/>
    <w:rsid w:val="007325AE"/>
    <w:rsid w:val="007326C6"/>
    <w:rsid w:val="00732732"/>
    <w:rsid w:val="00732DBF"/>
    <w:rsid w:val="007330AB"/>
    <w:rsid w:val="0073392C"/>
    <w:rsid w:val="0073397C"/>
    <w:rsid w:val="00733F0C"/>
    <w:rsid w:val="00734051"/>
    <w:rsid w:val="007341BF"/>
    <w:rsid w:val="00734519"/>
    <w:rsid w:val="0073458B"/>
    <w:rsid w:val="00734B84"/>
    <w:rsid w:val="00735D2A"/>
    <w:rsid w:val="00735EBF"/>
    <w:rsid w:val="007365ED"/>
    <w:rsid w:val="00736709"/>
    <w:rsid w:val="00736927"/>
    <w:rsid w:val="007373D2"/>
    <w:rsid w:val="0073779C"/>
    <w:rsid w:val="00737A4B"/>
    <w:rsid w:val="00737FC3"/>
    <w:rsid w:val="00740008"/>
    <w:rsid w:val="007408EF"/>
    <w:rsid w:val="00741219"/>
    <w:rsid w:val="00741355"/>
    <w:rsid w:val="00741864"/>
    <w:rsid w:val="00741C56"/>
    <w:rsid w:val="00741C83"/>
    <w:rsid w:val="00741E9A"/>
    <w:rsid w:val="00742891"/>
    <w:rsid w:val="00742977"/>
    <w:rsid w:val="00742C3D"/>
    <w:rsid w:val="00742DAD"/>
    <w:rsid w:val="00743091"/>
    <w:rsid w:val="00743455"/>
    <w:rsid w:val="007435B8"/>
    <w:rsid w:val="007435EC"/>
    <w:rsid w:val="007444AE"/>
    <w:rsid w:val="007447C6"/>
    <w:rsid w:val="007449FE"/>
    <w:rsid w:val="00744CEC"/>
    <w:rsid w:val="007451F0"/>
    <w:rsid w:val="0074556A"/>
    <w:rsid w:val="007457BC"/>
    <w:rsid w:val="00745A05"/>
    <w:rsid w:val="00745F8E"/>
    <w:rsid w:val="00746452"/>
    <w:rsid w:val="00746564"/>
    <w:rsid w:val="00746721"/>
    <w:rsid w:val="00746EF3"/>
    <w:rsid w:val="00747741"/>
    <w:rsid w:val="00747C00"/>
    <w:rsid w:val="007505F4"/>
    <w:rsid w:val="00750979"/>
    <w:rsid w:val="007512F5"/>
    <w:rsid w:val="00751313"/>
    <w:rsid w:val="007514AA"/>
    <w:rsid w:val="00751760"/>
    <w:rsid w:val="007517B6"/>
    <w:rsid w:val="007518C9"/>
    <w:rsid w:val="0075218A"/>
    <w:rsid w:val="00752238"/>
    <w:rsid w:val="00752DE0"/>
    <w:rsid w:val="00752E14"/>
    <w:rsid w:val="007533FD"/>
    <w:rsid w:val="00753BDA"/>
    <w:rsid w:val="00753DA5"/>
    <w:rsid w:val="00754E53"/>
    <w:rsid w:val="0075502B"/>
    <w:rsid w:val="00755633"/>
    <w:rsid w:val="00755639"/>
    <w:rsid w:val="00755B6F"/>
    <w:rsid w:val="00756A17"/>
    <w:rsid w:val="00756B41"/>
    <w:rsid w:val="00757624"/>
    <w:rsid w:val="007576EC"/>
    <w:rsid w:val="00757957"/>
    <w:rsid w:val="00760978"/>
    <w:rsid w:val="007609DE"/>
    <w:rsid w:val="007609FD"/>
    <w:rsid w:val="00760D42"/>
    <w:rsid w:val="00761C5E"/>
    <w:rsid w:val="00761E24"/>
    <w:rsid w:val="00762034"/>
    <w:rsid w:val="0076236A"/>
    <w:rsid w:val="007623B0"/>
    <w:rsid w:val="00762A7D"/>
    <w:rsid w:val="00763020"/>
    <w:rsid w:val="0076392A"/>
    <w:rsid w:val="007639E2"/>
    <w:rsid w:val="00763B9E"/>
    <w:rsid w:val="00764588"/>
    <w:rsid w:val="007648FE"/>
    <w:rsid w:val="00764B39"/>
    <w:rsid w:val="00764B90"/>
    <w:rsid w:val="007662CC"/>
    <w:rsid w:val="007663A9"/>
    <w:rsid w:val="007664EA"/>
    <w:rsid w:val="007667C4"/>
    <w:rsid w:val="007670FC"/>
    <w:rsid w:val="00767282"/>
    <w:rsid w:val="007678B9"/>
    <w:rsid w:val="00767DDD"/>
    <w:rsid w:val="00767F7F"/>
    <w:rsid w:val="007703EA"/>
    <w:rsid w:val="00770610"/>
    <w:rsid w:val="00770875"/>
    <w:rsid w:val="00770A2A"/>
    <w:rsid w:val="00770C49"/>
    <w:rsid w:val="00770D1B"/>
    <w:rsid w:val="007711D3"/>
    <w:rsid w:val="0077130E"/>
    <w:rsid w:val="007713D7"/>
    <w:rsid w:val="00771BF6"/>
    <w:rsid w:val="0077249A"/>
    <w:rsid w:val="0077262C"/>
    <w:rsid w:val="00772A29"/>
    <w:rsid w:val="00773B3E"/>
    <w:rsid w:val="00773E65"/>
    <w:rsid w:val="00773E8E"/>
    <w:rsid w:val="00773EE9"/>
    <w:rsid w:val="007741B0"/>
    <w:rsid w:val="007745D3"/>
    <w:rsid w:val="007746DC"/>
    <w:rsid w:val="00774A6A"/>
    <w:rsid w:val="00775233"/>
    <w:rsid w:val="0077558B"/>
    <w:rsid w:val="007756E4"/>
    <w:rsid w:val="00775865"/>
    <w:rsid w:val="00776667"/>
    <w:rsid w:val="00776874"/>
    <w:rsid w:val="0077726C"/>
    <w:rsid w:val="00777AAB"/>
    <w:rsid w:val="00780108"/>
    <w:rsid w:val="007802D3"/>
    <w:rsid w:val="007805C9"/>
    <w:rsid w:val="007809C9"/>
    <w:rsid w:val="00780AF5"/>
    <w:rsid w:val="00780FF9"/>
    <w:rsid w:val="00781785"/>
    <w:rsid w:val="0078285C"/>
    <w:rsid w:val="007829A6"/>
    <w:rsid w:val="00782B30"/>
    <w:rsid w:val="00782FEE"/>
    <w:rsid w:val="00783122"/>
    <w:rsid w:val="00783489"/>
    <w:rsid w:val="00783A36"/>
    <w:rsid w:val="00783A44"/>
    <w:rsid w:val="007845D4"/>
    <w:rsid w:val="007846EE"/>
    <w:rsid w:val="00784DF0"/>
    <w:rsid w:val="00784E6C"/>
    <w:rsid w:val="00785A38"/>
    <w:rsid w:val="00785A9B"/>
    <w:rsid w:val="00785C2A"/>
    <w:rsid w:val="007862A9"/>
    <w:rsid w:val="0078668F"/>
    <w:rsid w:val="007867F3"/>
    <w:rsid w:val="00786815"/>
    <w:rsid w:val="007868C8"/>
    <w:rsid w:val="0078700E"/>
    <w:rsid w:val="00787339"/>
    <w:rsid w:val="0078753E"/>
    <w:rsid w:val="00787B59"/>
    <w:rsid w:val="00787DD5"/>
    <w:rsid w:val="00787F86"/>
    <w:rsid w:val="007900A9"/>
    <w:rsid w:val="00790C1F"/>
    <w:rsid w:val="007910C3"/>
    <w:rsid w:val="00791110"/>
    <w:rsid w:val="0079124F"/>
    <w:rsid w:val="00791250"/>
    <w:rsid w:val="0079150D"/>
    <w:rsid w:val="00791715"/>
    <w:rsid w:val="00791DE1"/>
    <w:rsid w:val="00792419"/>
    <w:rsid w:val="00792A1D"/>
    <w:rsid w:val="00793181"/>
    <w:rsid w:val="0079319C"/>
    <w:rsid w:val="007936BD"/>
    <w:rsid w:val="007936C1"/>
    <w:rsid w:val="00793AE6"/>
    <w:rsid w:val="00793D0B"/>
    <w:rsid w:val="00793D23"/>
    <w:rsid w:val="00793D45"/>
    <w:rsid w:val="00794BBF"/>
    <w:rsid w:val="007953E7"/>
    <w:rsid w:val="00795E20"/>
    <w:rsid w:val="00796787"/>
    <w:rsid w:val="00796AED"/>
    <w:rsid w:val="00796C3E"/>
    <w:rsid w:val="007975BD"/>
    <w:rsid w:val="007979AB"/>
    <w:rsid w:val="00797B7E"/>
    <w:rsid w:val="007A05A2"/>
    <w:rsid w:val="007A0715"/>
    <w:rsid w:val="007A0833"/>
    <w:rsid w:val="007A0DFC"/>
    <w:rsid w:val="007A10D6"/>
    <w:rsid w:val="007A12EE"/>
    <w:rsid w:val="007A138C"/>
    <w:rsid w:val="007A1834"/>
    <w:rsid w:val="007A1856"/>
    <w:rsid w:val="007A1E52"/>
    <w:rsid w:val="007A2497"/>
    <w:rsid w:val="007A2A4D"/>
    <w:rsid w:val="007A2A5A"/>
    <w:rsid w:val="007A2B58"/>
    <w:rsid w:val="007A31B2"/>
    <w:rsid w:val="007A34BD"/>
    <w:rsid w:val="007A3629"/>
    <w:rsid w:val="007A385C"/>
    <w:rsid w:val="007A38F5"/>
    <w:rsid w:val="007A3D24"/>
    <w:rsid w:val="007A4860"/>
    <w:rsid w:val="007A4CAF"/>
    <w:rsid w:val="007A4F7B"/>
    <w:rsid w:val="007A5054"/>
    <w:rsid w:val="007A522E"/>
    <w:rsid w:val="007A57F9"/>
    <w:rsid w:val="007A61E4"/>
    <w:rsid w:val="007A6668"/>
    <w:rsid w:val="007A704A"/>
    <w:rsid w:val="007A7242"/>
    <w:rsid w:val="007B0222"/>
    <w:rsid w:val="007B036E"/>
    <w:rsid w:val="007B0851"/>
    <w:rsid w:val="007B12B0"/>
    <w:rsid w:val="007B1392"/>
    <w:rsid w:val="007B15C9"/>
    <w:rsid w:val="007B1785"/>
    <w:rsid w:val="007B1DA8"/>
    <w:rsid w:val="007B215A"/>
    <w:rsid w:val="007B22DC"/>
    <w:rsid w:val="007B230A"/>
    <w:rsid w:val="007B24F0"/>
    <w:rsid w:val="007B2A73"/>
    <w:rsid w:val="007B2E97"/>
    <w:rsid w:val="007B30B8"/>
    <w:rsid w:val="007B34DC"/>
    <w:rsid w:val="007B34E9"/>
    <w:rsid w:val="007B3A4D"/>
    <w:rsid w:val="007B3A98"/>
    <w:rsid w:val="007B4008"/>
    <w:rsid w:val="007B49C4"/>
    <w:rsid w:val="007B4D74"/>
    <w:rsid w:val="007B4DC6"/>
    <w:rsid w:val="007B5132"/>
    <w:rsid w:val="007B5734"/>
    <w:rsid w:val="007B69B8"/>
    <w:rsid w:val="007B69E8"/>
    <w:rsid w:val="007B6C17"/>
    <w:rsid w:val="007B6CF7"/>
    <w:rsid w:val="007B743C"/>
    <w:rsid w:val="007C009E"/>
    <w:rsid w:val="007C0165"/>
    <w:rsid w:val="007C048B"/>
    <w:rsid w:val="007C0508"/>
    <w:rsid w:val="007C057E"/>
    <w:rsid w:val="007C1541"/>
    <w:rsid w:val="007C1795"/>
    <w:rsid w:val="007C19DF"/>
    <w:rsid w:val="007C25F8"/>
    <w:rsid w:val="007C2F98"/>
    <w:rsid w:val="007C3637"/>
    <w:rsid w:val="007C3FF1"/>
    <w:rsid w:val="007C408F"/>
    <w:rsid w:val="007C4483"/>
    <w:rsid w:val="007C44DC"/>
    <w:rsid w:val="007C4545"/>
    <w:rsid w:val="007C45F7"/>
    <w:rsid w:val="007C46D1"/>
    <w:rsid w:val="007C47C2"/>
    <w:rsid w:val="007C4822"/>
    <w:rsid w:val="007C491B"/>
    <w:rsid w:val="007C4DEF"/>
    <w:rsid w:val="007C5294"/>
    <w:rsid w:val="007C5468"/>
    <w:rsid w:val="007C55F1"/>
    <w:rsid w:val="007C58AB"/>
    <w:rsid w:val="007C5BF3"/>
    <w:rsid w:val="007C6148"/>
    <w:rsid w:val="007C6900"/>
    <w:rsid w:val="007C69A9"/>
    <w:rsid w:val="007C6C60"/>
    <w:rsid w:val="007C6D07"/>
    <w:rsid w:val="007C7039"/>
    <w:rsid w:val="007C745C"/>
    <w:rsid w:val="007C7578"/>
    <w:rsid w:val="007C7C53"/>
    <w:rsid w:val="007C7E7C"/>
    <w:rsid w:val="007C7F4C"/>
    <w:rsid w:val="007D065E"/>
    <w:rsid w:val="007D0940"/>
    <w:rsid w:val="007D0A94"/>
    <w:rsid w:val="007D0B22"/>
    <w:rsid w:val="007D0BD6"/>
    <w:rsid w:val="007D0D5B"/>
    <w:rsid w:val="007D1258"/>
    <w:rsid w:val="007D143D"/>
    <w:rsid w:val="007D1727"/>
    <w:rsid w:val="007D1B92"/>
    <w:rsid w:val="007D240D"/>
    <w:rsid w:val="007D25B9"/>
    <w:rsid w:val="007D261C"/>
    <w:rsid w:val="007D29AD"/>
    <w:rsid w:val="007D2BD3"/>
    <w:rsid w:val="007D2BE8"/>
    <w:rsid w:val="007D3066"/>
    <w:rsid w:val="007D36F6"/>
    <w:rsid w:val="007D421B"/>
    <w:rsid w:val="007D4490"/>
    <w:rsid w:val="007D4579"/>
    <w:rsid w:val="007D4E29"/>
    <w:rsid w:val="007D51EB"/>
    <w:rsid w:val="007D58BB"/>
    <w:rsid w:val="007D6835"/>
    <w:rsid w:val="007D6A93"/>
    <w:rsid w:val="007D7CDE"/>
    <w:rsid w:val="007D7DC7"/>
    <w:rsid w:val="007D7EFB"/>
    <w:rsid w:val="007E01AF"/>
    <w:rsid w:val="007E0772"/>
    <w:rsid w:val="007E0D31"/>
    <w:rsid w:val="007E0E04"/>
    <w:rsid w:val="007E0EF9"/>
    <w:rsid w:val="007E12BF"/>
    <w:rsid w:val="007E1FC2"/>
    <w:rsid w:val="007E21D9"/>
    <w:rsid w:val="007E2BDD"/>
    <w:rsid w:val="007E3313"/>
    <w:rsid w:val="007E4144"/>
    <w:rsid w:val="007E45CA"/>
    <w:rsid w:val="007E48C0"/>
    <w:rsid w:val="007E4967"/>
    <w:rsid w:val="007E4DA9"/>
    <w:rsid w:val="007E5885"/>
    <w:rsid w:val="007E5A9D"/>
    <w:rsid w:val="007E61B7"/>
    <w:rsid w:val="007E64FF"/>
    <w:rsid w:val="007E6910"/>
    <w:rsid w:val="007E6A29"/>
    <w:rsid w:val="007E6F62"/>
    <w:rsid w:val="007E6FEA"/>
    <w:rsid w:val="007E7C7B"/>
    <w:rsid w:val="007E7E0F"/>
    <w:rsid w:val="007E7F8F"/>
    <w:rsid w:val="007F015E"/>
    <w:rsid w:val="007F1160"/>
    <w:rsid w:val="007F164E"/>
    <w:rsid w:val="007F1717"/>
    <w:rsid w:val="007F19B9"/>
    <w:rsid w:val="007F21B0"/>
    <w:rsid w:val="007F2773"/>
    <w:rsid w:val="007F2DE9"/>
    <w:rsid w:val="007F2E07"/>
    <w:rsid w:val="007F2FDB"/>
    <w:rsid w:val="007F341B"/>
    <w:rsid w:val="007F34E7"/>
    <w:rsid w:val="007F3682"/>
    <w:rsid w:val="007F3AA2"/>
    <w:rsid w:val="007F3B45"/>
    <w:rsid w:val="007F3E3E"/>
    <w:rsid w:val="007F3E43"/>
    <w:rsid w:val="007F41CB"/>
    <w:rsid w:val="007F4A9E"/>
    <w:rsid w:val="007F4ABC"/>
    <w:rsid w:val="007F4CC8"/>
    <w:rsid w:val="007F4D45"/>
    <w:rsid w:val="007F510F"/>
    <w:rsid w:val="007F53A8"/>
    <w:rsid w:val="007F53B9"/>
    <w:rsid w:val="007F5448"/>
    <w:rsid w:val="007F545B"/>
    <w:rsid w:val="007F59B2"/>
    <w:rsid w:val="007F64AD"/>
    <w:rsid w:val="007F6607"/>
    <w:rsid w:val="007F7368"/>
    <w:rsid w:val="007F7865"/>
    <w:rsid w:val="007F7D7E"/>
    <w:rsid w:val="007F7E6C"/>
    <w:rsid w:val="007F7FB3"/>
    <w:rsid w:val="0080026A"/>
    <w:rsid w:val="008002F8"/>
    <w:rsid w:val="00800340"/>
    <w:rsid w:val="00800549"/>
    <w:rsid w:val="00800953"/>
    <w:rsid w:val="00801255"/>
    <w:rsid w:val="0080197B"/>
    <w:rsid w:val="00801C1F"/>
    <w:rsid w:val="00801C4F"/>
    <w:rsid w:val="00801FD0"/>
    <w:rsid w:val="008021D3"/>
    <w:rsid w:val="00802849"/>
    <w:rsid w:val="00802971"/>
    <w:rsid w:val="008038E3"/>
    <w:rsid w:val="008038F6"/>
    <w:rsid w:val="008040C5"/>
    <w:rsid w:val="00804558"/>
    <w:rsid w:val="00804712"/>
    <w:rsid w:val="008047AE"/>
    <w:rsid w:val="00804B21"/>
    <w:rsid w:val="00804CF4"/>
    <w:rsid w:val="00804D15"/>
    <w:rsid w:val="00805483"/>
    <w:rsid w:val="008054D1"/>
    <w:rsid w:val="0080585D"/>
    <w:rsid w:val="00805CB0"/>
    <w:rsid w:val="00805D6F"/>
    <w:rsid w:val="00806273"/>
    <w:rsid w:val="0080661F"/>
    <w:rsid w:val="008067A6"/>
    <w:rsid w:val="00806EFD"/>
    <w:rsid w:val="00806F98"/>
    <w:rsid w:val="00807074"/>
    <w:rsid w:val="00807228"/>
    <w:rsid w:val="008076FE"/>
    <w:rsid w:val="00807E43"/>
    <w:rsid w:val="00807F69"/>
    <w:rsid w:val="00810368"/>
    <w:rsid w:val="00810536"/>
    <w:rsid w:val="008108B5"/>
    <w:rsid w:val="00810A25"/>
    <w:rsid w:val="00810BE7"/>
    <w:rsid w:val="00811336"/>
    <w:rsid w:val="0081165D"/>
    <w:rsid w:val="00811B28"/>
    <w:rsid w:val="0081270F"/>
    <w:rsid w:val="00812862"/>
    <w:rsid w:val="00812A05"/>
    <w:rsid w:val="00812A7A"/>
    <w:rsid w:val="00812B10"/>
    <w:rsid w:val="00812DC8"/>
    <w:rsid w:val="0081362B"/>
    <w:rsid w:val="0081450B"/>
    <w:rsid w:val="0081467F"/>
    <w:rsid w:val="0081492C"/>
    <w:rsid w:val="00814994"/>
    <w:rsid w:val="00815251"/>
    <w:rsid w:val="00815339"/>
    <w:rsid w:val="0081591F"/>
    <w:rsid w:val="00815A99"/>
    <w:rsid w:val="00815E5B"/>
    <w:rsid w:val="00815FAF"/>
    <w:rsid w:val="008160D1"/>
    <w:rsid w:val="008162B3"/>
    <w:rsid w:val="0081640D"/>
    <w:rsid w:val="00816829"/>
    <w:rsid w:val="0081687A"/>
    <w:rsid w:val="008169A1"/>
    <w:rsid w:val="00817119"/>
    <w:rsid w:val="00817879"/>
    <w:rsid w:val="00820160"/>
    <w:rsid w:val="0082022B"/>
    <w:rsid w:val="0082041D"/>
    <w:rsid w:val="008206A3"/>
    <w:rsid w:val="00820C3D"/>
    <w:rsid w:val="00820E0E"/>
    <w:rsid w:val="00821237"/>
    <w:rsid w:val="008216DA"/>
    <w:rsid w:val="008217C3"/>
    <w:rsid w:val="00821868"/>
    <w:rsid w:val="008219B8"/>
    <w:rsid w:val="00821ECA"/>
    <w:rsid w:val="00822414"/>
    <w:rsid w:val="00822C0D"/>
    <w:rsid w:val="00822CB9"/>
    <w:rsid w:val="00822E2C"/>
    <w:rsid w:val="00823116"/>
    <w:rsid w:val="0082350E"/>
    <w:rsid w:val="00823594"/>
    <w:rsid w:val="00823658"/>
    <w:rsid w:val="008239BF"/>
    <w:rsid w:val="00823B36"/>
    <w:rsid w:val="0082488C"/>
    <w:rsid w:val="008251E7"/>
    <w:rsid w:val="00825417"/>
    <w:rsid w:val="008257E8"/>
    <w:rsid w:val="008262BC"/>
    <w:rsid w:val="008266A2"/>
    <w:rsid w:val="008267AE"/>
    <w:rsid w:val="008271AC"/>
    <w:rsid w:val="0083030A"/>
    <w:rsid w:val="00830B33"/>
    <w:rsid w:val="0083118A"/>
    <w:rsid w:val="00831784"/>
    <w:rsid w:val="00831D02"/>
    <w:rsid w:val="00832727"/>
    <w:rsid w:val="00832F9F"/>
    <w:rsid w:val="008337C1"/>
    <w:rsid w:val="00833D30"/>
    <w:rsid w:val="0083415A"/>
    <w:rsid w:val="0083451D"/>
    <w:rsid w:val="00834F23"/>
    <w:rsid w:val="00834F8C"/>
    <w:rsid w:val="00835035"/>
    <w:rsid w:val="00835303"/>
    <w:rsid w:val="008353B6"/>
    <w:rsid w:val="00835696"/>
    <w:rsid w:val="00835ADD"/>
    <w:rsid w:val="00835F79"/>
    <w:rsid w:val="00836A67"/>
    <w:rsid w:val="00836CEB"/>
    <w:rsid w:val="00836F42"/>
    <w:rsid w:val="00837C8F"/>
    <w:rsid w:val="00840C84"/>
    <w:rsid w:val="00840EAF"/>
    <w:rsid w:val="008410C2"/>
    <w:rsid w:val="008414FF"/>
    <w:rsid w:val="008416BF"/>
    <w:rsid w:val="008416FD"/>
    <w:rsid w:val="0084188F"/>
    <w:rsid w:val="00841946"/>
    <w:rsid w:val="008420A3"/>
    <w:rsid w:val="00842611"/>
    <w:rsid w:val="00842659"/>
    <w:rsid w:val="008426CD"/>
    <w:rsid w:val="0084293A"/>
    <w:rsid w:val="00842C44"/>
    <w:rsid w:val="0084339E"/>
    <w:rsid w:val="0084354C"/>
    <w:rsid w:val="0084375D"/>
    <w:rsid w:val="008440D8"/>
    <w:rsid w:val="0084416F"/>
    <w:rsid w:val="00844204"/>
    <w:rsid w:val="00844462"/>
    <w:rsid w:val="008449FE"/>
    <w:rsid w:val="00844A62"/>
    <w:rsid w:val="00844D8D"/>
    <w:rsid w:val="00845515"/>
    <w:rsid w:val="00845520"/>
    <w:rsid w:val="008459B7"/>
    <w:rsid w:val="00845FC4"/>
    <w:rsid w:val="008461B0"/>
    <w:rsid w:val="00846859"/>
    <w:rsid w:val="00846B10"/>
    <w:rsid w:val="00846C17"/>
    <w:rsid w:val="00846C9F"/>
    <w:rsid w:val="00846D16"/>
    <w:rsid w:val="00846F4C"/>
    <w:rsid w:val="0085044B"/>
    <w:rsid w:val="00850E2D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1F8A"/>
    <w:rsid w:val="00852142"/>
    <w:rsid w:val="0085278F"/>
    <w:rsid w:val="008528CF"/>
    <w:rsid w:val="00852A3A"/>
    <w:rsid w:val="00852BA9"/>
    <w:rsid w:val="00853510"/>
    <w:rsid w:val="00853E5B"/>
    <w:rsid w:val="00854029"/>
    <w:rsid w:val="00854123"/>
    <w:rsid w:val="0085429D"/>
    <w:rsid w:val="008542D1"/>
    <w:rsid w:val="00854465"/>
    <w:rsid w:val="008544BD"/>
    <w:rsid w:val="00854946"/>
    <w:rsid w:val="00854976"/>
    <w:rsid w:val="00854993"/>
    <w:rsid w:val="00854B62"/>
    <w:rsid w:val="00854B77"/>
    <w:rsid w:val="00854E58"/>
    <w:rsid w:val="008558ED"/>
    <w:rsid w:val="00855CFC"/>
    <w:rsid w:val="00855FD5"/>
    <w:rsid w:val="00856049"/>
    <w:rsid w:val="0085632A"/>
    <w:rsid w:val="008568BB"/>
    <w:rsid w:val="00856C6B"/>
    <w:rsid w:val="00856E96"/>
    <w:rsid w:val="00857822"/>
    <w:rsid w:val="00857C93"/>
    <w:rsid w:val="00860D51"/>
    <w:rsid w:val="008611C1"/>
    <w:rsid w:val="0086151A"/>
    <w:rsid w:val="0086173C"/>
    <w:rsid w:val="0086187E"/>
    <w:rsid w:val="00861DA4"/>
    <w:rsid w:val="00861EC4"/>
    <w:rsid w:val="00862330"/>
    <w:rsid w:val="0086254A"/>
    <w:rsid w:val="0086264B"/>
    <w:rsid w:val="008626E9"/>
    <w:rsid w:val="008626EB"/>
    <w:rsid w:val="00862EFD"/>
    <w:rsid w:val="008634ED"/>
    <w:rsid w:val="008638FB"/>
    <w:rsid w:val="00863CC8"/>
    <w:rsid w:val="0086444C"/>
    <w:rsid w:val="008644B1"/>
    <w:rsid w:val="00864675"/>
    <w:rsid w:val="00864768"/>
    <w:rsid w:val="00864B19"/>
    <w:rsid w:val="00864F62"/>
    <w:rsid w:val="0086534E"/>
    <w:rsid w:val="008658AB"/>
    <w:rsid w:val="00865B18"/>
    <w:rsid w:val="00865DAD"/>
    <w:rsid w:val="00865FCE"/>
    <w:rsid w:val="0086672E"/>
    <w:rsid w:val="00866AB1"/>
    <w:rsid w:val="00866BB4"/>
    <w:rsid w:val="00866CF2"/>
    <w:rsid w:val="008671A5"/>
    <w:rsid w:val="008675EC"/>
    <w:rsid w:val="008679CE"/>
    <w:rsid w:val="00867B12"/>
    <w:rsid w:val="00867DA7"/>
    <w:rsid w:val="008705A8"/>
    <w:rsid w:val="0087185F"/>
    <w:rsid w:val="008718FC"/>
    <w:rsid w:val="00871CC2"/>
    <w:rsid w:val="00871F4F"/>
    <w:rsid w:val="0087200D"/>
    <w:rsid w:val="00872131"/>
    <w:rsid w:val="008723B8"/>
    <w:rsid w:val="008725F5"/>
    <w:rsid w:val="0087282A"/>
    <w:rsid w:val="00872B20"/>
    <w:rsid w:val="00872D42"/>
    <w:rsid w:val="00873147"/>
    <w:rsid w:val="0087357A"/>
    <w:rsid w:val="00873664"/>
    <w:rsid w:val="00873C1E"/>
    <w:rsid w:val="00873CD6"/>
    <w:rsid w:val="00873DE6"/>
    <w:rsid w:val="00873FBF"/>
    <w:rsid w:val="0087416F"/>
    <w:rsid w:val="00874178"/>
    <w:rsid w:val="00874272"/>
    <w:rsid w:val="008743DF"/>
    <w:rsid w:val="00874C66"/>
    <w:rsid w:val="00874F67"/>
    <w:rsid w:val="0087579C"/>
    <w:rsid w:val="00875CC0"/>
    <w:rsid w:val="00875F4F"/>
    <w:rsid w:val="008762D8"/>
    <w:rsid w:val="008771F3"/>
    <w:rsid w:val="008772D9"/>
    <w:rsid w:val="00877A05"/>
    <w:rsid w:val="00877A58"/>
    <w:rsid w:val="00877B29"/>
    <w:rsid w:val="00877EFD"/>
    <w:rsid w:val="00880585"/>
    <w:rsid w:val="008808B9"/>
    <w:rsid w:val="00880AC5"/>
    <w:rsid w:val="00880B30"/>
    <w:rsid w:val="00880B6E"/>
    <w:rsid w:val="00880F1D"/>
    <w:rsid w:val="00881147"/>
    <w:rsid w:val="0088172A"/>
    <w:rsid w:val="00881D54"/>
    <w:rsid w:val="00881F90"/>
    <w:rsid w:val="00882F50"/>
    <w:rsid w:val="00884487"/>
    <w:rsid w:val="00884AFE"/>
    <w:rsid w:val="00885056"/>
    <w:rsid w:val="008851C4"/>
    <w:rsid w:val="0088541F"/>
    <w:rsid w:val="00885696"/>
    <w:rsid w:val="0088570A"/>
    <w:rsid w:val="00885A0E"/>
    <w:rsid w:val="00885E9D"/>
    <w:rsid w:val="0088635B"/>
    <w:rsid w:val="0088636E"/>
    <w:rsid w:val="008864A7"/>
    <w:rsid w:val="0088666A"/>
    <w:rsid w:val="0088688A"/>
    <w:rsid w:val="00886A9E"/>
    <w:rsid w:val="00886AE4"/>
    <w:rsid w:val="00886DC9"/>
    <w:rsid w:val="00886EC7"/>
    <w:rsid w:val="00887184"/>
    <w:rsid w:val="00887877"/>
    <w:rsid w:val="008879EA"/>
    <w:rsid w:val="00887FF6"/>
    <w:rsid w:val="00890139"/>
    <w:rsid w:val="0089160E"/>
    <w:rsid w:val="008921B1"/>
    <w:rsid w:val="00892687"/>
    <w:rsid w:val="008927B2"/>
    <w:rsid w:val="00893386"/>
    <w:rsid w:val="0089351C"/>
    <w:rsid w:val="0089363C"/>
    <w:rsid w:val="00893657"/>
    <w:rsid w:val="00893671"/>
    <w:rsid w:val="00893C24"/>
    <w:rsid w:val="00893DF6"/>
    <w:rsid w:val="008941FB"/>
    <w:rsid w:val="00894291"/>
    <w:rsid w:val="008943D1"/>
    <w:rsid w:val="00894565"/>
    <w:rsid w:val="008947A1"/>
    <w:rsid w:val="00894D18"/>
    <w:rsid w:val="008950D6"/>
    <w:rsid w:val="00895B46"/>
    <w:rsid w:val="00896474"/>
    <w:rsid w:val="00896DBC"/>
    <w:rsid w:val="00897677"/>
    <w:rsid w:val="00897B59"/>
    <w:rsid w:val="00897C6C"/>
    <w:rsid w:val="00897D1A"/>
    <w:rsid w:val="00897D85"/>
    <w:rsid w:val="008A0905"/>
    <w:rsid w:val="008A0B02"/>
    <w:rsid w:val="008A0E0D"/>
    <w:rsid w:val="008A155C"/>
    <w:rsid w:val="008A180E"/>
    <w:rsid w:val="008A197C"/>
    <w:rsid w:val="008A1AA8"/>
    <w:rsid w:val="008A20DA"/>
    <w:rsid w:val="008A23D3"/>
    <w:rsid w:val="008A2545"/>
    <w:rsid w:val="008A2591"/>
    <w:rsid w:val="008A2636"/>
    <w:rsid w:val="008A2B22"/>
    <w:rsid w:val="008A2EA5"/>
    <w:rsid w:val="008A35DB"/>
    <w:rsid w:val="008A3AF9"/>
    <w:rsid w:val="008A3FBE"/>
    <w:rsid w:val="008A4013"/>
    <w:rsid w:val="008A46A0"/>
    <w:rsid w:val="008A493B"/>
    <w:rsid w:val="008A4C9C"/>
    <w:rsid w:val="008A55A4"/>
    <w:rsid w:val="008A6041"/>
    <w:rsid w:val="008A60F8"/>
    <w:rsid w:val="008A616C"/>
    <w:rsid w:val="008A6570"/>
    <w:rsid w:val="008A6791"/>
    <w:rsid w:val="008A69FE"/>
    <w:rsid w:val="008A6EC7"/>
    <w:rsid w:val="008A6F36"/>
    <w:rsid w:val="008A7286"/>
    <w:rsid w:val="008A7346"/>
    <w:rsid w:val="008A7B50"/>
    <w:rsid w:val="008B00E5"/>
    <w:rsid w:val="008B0641"/>
    <w:rsid w:val="008B0EB7"/>
    <w:rsid w:val="008B138E"/>
    <w:rsid w:val="008B1782"/>
    <w:rsid w:val="008B1C78"/>
    <w:rsid w:val="008B1F87"/>
    <w:rsid w:val="008B28BD"/>
    <w:rsid w:val="008B2990"/>
    <w:rsid w:val="008B2E96"/>
    <w:rsid w:val="008B2F53"/>
    <w:rsid w:val="008B3006"/>
    <w:rsid w:val="008B3139"/>
    <w:rsid w:val="008B382E"/>
    <w:rsid w:val="008B3B50"/>
    <w:rsid w:val="008B3D47"/>
    <w:rsid w:val="008B44CB"/>
    <w:rsid w:val="008B46D2"/>
    <w:rsid w:val="008B4BCF"/>
    <w:rsid w:val="008B4FB7"/>
    <w:rsid w:val="008B5253"/>
    <w:rsid w:val="008B53B8"/>
    <w:rsid w:val="008B53D8"/>
    <w:rsid w:val="008B63BE"/>
    <w:rsid w:val="008B640E"/>
    <w:rsid w:val="008B6505"/>
    <w:rsid w:val="008B6636"/>
    <w:rsid w:val="008B688D"/>
    <w:rsid w:val="008B698F"/>
    <w:rsid w:val="008B6C72"/>
    <w:rsid w:val="008B70EE"/>
    <w:rsid w:val="008B715C"/>
    <w:rsid w:val="008B751A"/>
    <w:rsid w:val="008B75B8"/>
    <w:rsid w:val="008B79A9"/>
    <w:rsid w:val="008C07A1"/>
    <w:rsid w:val="008C088F"/>
    <w:rsid w:val="008C08EA"/>
    <w:rsid w:val="008C0BB9"/>
    <w:rsid w:val="008C0EAD"/>
    <w:rsid w:val="008C1442"/>
    <w:rsid w:val="008C1693"/>
    <w:rsid w:val="008C19D9"/>
    <w:rsid w:val="008C1A5E"/>
    <w:rsid w:val="008C1A81"/>
    <w:rsid w:val="008C29FE"/>
    <w:rsid w:val="008C2F99"/>
    <w:rsid w:val="008C32CA"/>
    <w:rsid w:val="008C3967"/>
    <w:rsid w:val="008C4138"/>
    <w:rsid w:val="008C431E"/>
    <w:rsid w:val="008C54BD"/>
    <w:rsid w:val="008C54C4"/>
    <w:rsid w:val="008C6056"/>
    <w:rsid w:val="008C6628"/>
    <w:rsid w:val="008C6717"/>
    <w:rsid w:val="008C69C9"/>
    <w:rsid w:val="008C6E38"/>
    <w:rsid w:val="008C6F75"/>
    <w:rsid w:val="008C7C18"/>
    <w:rsid w:val="008C7CC4"/>
    <w:rsid w:val="008D047D"/>
    <w:rsid w:val="008D0B4C"/>
    <w:rsid w:val="008D14C4"/>
    <w:rsid w:val="008D1964"/>
    <w:rsid w:val="008D221A"/>
    <w:rsid w:val="008D24D6"/>
    <w:rsid w:val="008D24E1"/>
    <w:rsid w:val="008D2C08"/>
    <w:rsid w:val="008D30DF"/>
    <w:rsid w:val="008D369E"/>
    <w:rsid w:val="008D3E6A"/>
    <w:rsid w:val="008D4C4F"/>
    <w:rsid w:val="008D5379"/>
    <w:rsid w:val="008D53E2"/>
    <w:rsid w:val="008D5908"/>
    <w:rsid w:val="008D5AF1"/>
    <w:rsid w:val="008D60A9"/>
    <w:rsid w:val="008D6A6E"/>
    <w:rsid w:val="008D781F"/>
    <w:rsid w:val="008D7DBE"/>
    <w:rsid w:val="008D7FB9"/>
    <w:rsid w:val="008E02A0"/>
    <w:rsid w:val="008E02B7"/>
    <w:rsid w:val="008E0DF6"/>
    <w:rsid w:val="008E1106"/>
    <w:rsid w:val="008E1B1D"/>
    <w:rsid w:val="008E20BE"/>
    <w:rsid w:val="008E22AB"/>
    <w:rsid w:val="008E22FD"/>
    <w:rsid w:val="008E241B"/>
    <w:rsid w:val="008E27A1"/>
    <w:rsid w:val="008E29EC"/>
    <w:rsid w:val="008E2AC1"/>
    <w:rsid w:val="008E3096"/>
    <w:rsid w:val="008E330C"/>
    <w:rsid w:val="008E332F"/>
    <w:rsid w:val="008E35FC"/>
    <w:rsid w:val="008E4114"/>
    <w:rsid w:val="008E45EA"/>
    <w:rsid w:val="008E4A1A"/>
    <w:rsid w:val="008E5592"/>
    <w:rsid w:val="008E5E01"/>
    <w:rsid w:val="008E6093"/>
    <w:rsid w:val="008E659F"/>
    <w:rsid w:val="008E681C"/>
    <w:rsid w:val="008E687D"/>
    <w:rsid w:val="008E69A3"/>
    <w:rsid w:val="008E706F"/>
    <w:rsid w:val="008E76A5"/>
    <w:rsid w:val="008E7CC9"/>
    <w:rsid w:val="008E7E4C"/>
    <w:rsid w:val="008E7FE4"/>
    <w:rsid w:val="008F006D"/>
    <w:rsid w:val="008F02A1"/>
    <w:rsid w:val="008F0E69"/>
    <w:rsid w:val="008F1212"/>
    <w:rsid w:val="008F12FF"/>
    <w:rsid w:val="008F164F"/>
    <w:rsid w:val="008F1E55"/>
    <w:rsid w:val="008F20A8"/>
    <w:rsid w:val="008F2840"/>
    <w:rsid w:val="008F2B5F"/>
    <w:rsid w:val="008F2B79"/>
    <w:rsid w:val="008F3A14"/>
    <w:rsid w:val="008F3D3E"/>
    <w:rsid w:val="008F3F31"/>
    <w:rsid w:val="008F4144"/>
    <w:rsid w:val="008F41B4"/>
    <w:rsid w:val="008F4655"/>
    <w:rsid w:val="008F4779"/>
    <w:rsid w:val="008F542B"/>
    <w:rsid w:val="008F5670"/>
    <w:rsid w:val="008F599F"/>
    <w:rsid w:val="008F5D6D"/>
    <w:rsid w:val="008F5F80"/>
    <w:rsid w:val="008F63DF"/>
    <w:rsid w:val="008F64E5"/>
    <w:rsid w:val="008F677E"/>
    <w:rsid w:val="008F6810"/>
    <w:rsid w:val="008F74F7"/>
    <w:rsid w:val="008F75CD"/>
    <w:rsid w:val="008F7C28"/>
    <w:rsid w:val="009002A7"/>
    <w:rsid w:val="0090034D"/>
    <w:rsid w:val="00900D91"/>
    <w:rsid w:val="00900EC7"/>
    <w:rsid w:val="00900FFC"/>
    <w:rsid w:val="0090114C"/>
    <w:rsid w:val="009011BC"/>
    <w:rsid w:val="009011F9"/>
    <w:rsid w:val="00901244"/>
    <w:rsid w:val="00901979"/>
    <w:rsid w:val="00902357"/>
    <w:rsid w:val="0090242A"/>
    <w:rsid w:val="0090249B"/>
    <w:rsid w:val="00902568"/>
    <w:rsid w:val="0090289A"/>
    <w:rsid w:val="00902A3A"/>
    <w:rsid w:val="00902C85"/>
    <w:rsid w:val="00902F5B"/>
    <w:rsid w:val="00902FDE"/>
    <w:rsid w:val="009030F7"/>
    <w:rsid w:val="009034D9"/>
    <w:rsid w:val="00903D45"/>
    <w:rsid w:val="0090426B"/>
    <w:rsid w:val="009046C9"/>
    <w:rsid w:val="009046F1"/>
    <w:rsid w:val="00904883"/>
    <w:rsid w:val="00904B0A"/>
    <w:rsid w:val="00904F84"/>
    <w:rsid w:val="009050E7"/>
    <w:rsid w:val="009055DD"/>
    <w:rsid w:val="00905996"/>
    <w:rsid w:val="0090616A"/>
    <w:rsid w:val="00906177"/>
    <w:rsid w:val="0090618D"/>
    <w:rsid w:val="00906527"/>
    <w:rsid w:val="00906590"/>
    <w:rsid w:val="0090669C"/>
    <w:rsid w:val="009068EC"/>
    <w:rsid w:val="00906BD9"/>
    <w:rsid w:val="00906EA0"/>
    <w:rsid w:val="00907F4C"/>
    <w:rsid w:val="0091006A"/>
    <w:rsid w:val="00910995"/>
    <w:rsid w:val="00910B57"/>
    <w:rsid w:val="0091128D"/>
    <w:rsid w:val="0091148A"/>
    <w:rsid w:val="00911E50"/>
    <w:rsid w:val="00912347"/>
    <w:rsid w:val="0091268D"/>
    <w:rsid w:val="009129C1"/>
    <w:rsid w:val="009137B3"/>
    <w:rsid w:val="00913B74"/>
    <w:rsid w:val="00913BA9"/>
    <w:rsid w:val="00913EBB"/>
    <w:rsid w:val="009141BB"/>
    <w:rsid w:val="00914B55"/>
    <w:rsid w:val="00914DC4"/>
    <w:rsid w:val="00915261"/>
    <w:rsid w:val="00915329"/>
    <w:rsid w:val="0091588C"/>
    <w:rsid w:val="00915DB5"/>
    <w:rsid w:val="00915DF4"/>
    <w:rsid w:val="00916068"/>
    <w:rsid w:val="00916BF5"/>
    <w:rsid w:val="00916CCB"/>
    <w:rsid w:val="009171CC"/>
    <w:rsid w:val="00917D81"/>
    <w:rsid w:val="00917DB8"/>
    <w:rsid w:val="009200F8"/>
    <w:rsid w:val="00920411"/>
    <w:rsid w:val="00920EC8"/>
    <w:rsid w:val="00921102"/>
    <w:rsid w:val="00921305"/>
    <w:rsid w:val="00921497"/>
    <w:rsid w:val="00921783"/>
    <w:rsid w:val="009217D9"/>
    <w:rsid w:val="00921AC8"/>
    <w:rsid w:val="0092206F"/>
    <w:rsid w:val="00922482"/>
    <w:rsid w:val="00922A2B"/>
    <w:rsid w:val="0092489B"/>
    <w:rsid w:val="009249E3"/>
    <w:rsid w:val="00924A6C"/>
    <w:rsid w:val="00924AED"/>
    <w:rsid w:val="00924ED4"/>
    <w:rsid w:val="00924F63"/>
    <w:rsid w:val="00925450"/>
    <w:rsid w:val="00925C18"/>
    <w:rsid w:val="00926543"/>
    <w:rsid w:val="00926A6A"/>
    <w:rsid w:val="00926B8F"/>
    <w:rsid w:val="009271AB"/>
    <w:rsid w:val="00927281"/>
    <w:rsid w:val="009273B8"/>
    <w:rsid w:val="00927A20"/>
    <w:rsid w:val="00927F6D"/>
    <w:rsid w:val="00930298"/>
    <w:rsid w:val="009302A6"/>
    <w:rsid w:val="00930D15"/>
    <w:rsid w:val="00931325"/>
    <w:rsid w:val="009319DC"/>
    <w:rsid w:val="00931AAD"/>
    <w:rsid w:val="00931E6D"/>
    <w:rsid w:val="009322B5"/>
    <w:rsid w:val="0093286C"/>
    <w:rsid w:val="00932B97"/>
    <w:rsid w:val="00932D04"/>
    <w:rsid w:val="00932E9E"/>
    <w:rsid w:val="009331BA"/>
    <w:rsid w:val="009333C0"/>
    <w:rsid w:val="00933B8A"/>
    <w:rsid w:val="00934141"/>
    <w:rsid w:val="009341AA"/>
    <w:rsid w:val="0093429A"/>
    <w:rsid w:val="00934C3E"/>
    <w:rsid w:val="009350EE"/>
    <w:rsid w:val="0093518A"/>
    <w:rsid w:val="009352D3"/>
    <w:rsid w:val="009355BB"/>
    <w:rsid w:val="00935789"/>
    <w:rsid w:val="00935818"/>
    <w:rsid w:val="009358AF"/>
    <w:rsid w:val="009359C5"/>
    <w:rsid w:val="00935CFA"/>
    <w:rsid w:val="00936075"/>
    <w:rsid w:val="00936157"/>
    <w:rsid w:val="009361E8"/>
    <w:rsid w:val="00936247"/>
    <w:rsid w:val="00936501"/>
    <w:rsid w:val="009366AD"/>
    <w:rsid w:val="009366EC"/>
    <w:rsid w:val="00936D32"/>
    <w:rsid w:val="00936EEA"/>
    <w:rsid w:val="00937496"/>
    <w:rsid w:val="009377A1"/>
    <w:rsid w:val="009378F6"/>
    <w:rsid w:val="00937C7D"/>
    <w:rsid w:val="00940850"/>
    <w:rsid w:val="00940B1D"/>
    <w:rsid w:val="0094130E"/>
    <w:rsid w:val="00941340"/>
    <w:rsid w:val="0094243B"/>
    <w:rsid w:val="009425EB"/>
    <w:rsid w:val="009428A4"/>
    <w:rsid w:val="00943034"/>
    <w:rsid w:val="00943157"/>
    <w:rsid w:val="0094362E"/>
    <w:rsid w:val="0094368C"/>
    <w:rsid w:val="00943893"/>
    <w:rsid w:val="0094390C"/>
    <w:rsid w:val="00943B61"/>
    <w:rsid w:val="00944086"/>
    <w:rsid w:val="00944312"/>
    <w:rsid w:val="0094432A"/>
    <w:rsid w:val="009443DC"/>
    <w:rsid w:val="00944AE2"/>
    <w:rsid w:val="0094526B"/>
    <w:rsid w:val="009455A6"/>
    <w:rsid w:val="009456EB"/>
    <w:rsid w:val="00945E7E"/>
    <w:rsid w:val="00945E8F"/>
    <w:rsid w:val="009463FD"/>
    <w:rsid w:val="009467FD"/>
    <w:rsid w:val="00946905"/>
    <w:rsid w:val="00946D2E"/>
    <w:rsid w:val="00946E64"/>
    <w:rsid w:val="009472F6"/>
    <w:rsid w:val="009473F4"/>
    <w:rsid w:val="0094783F"/>
    <w:rsid w:val="00950B18"/>
    <w:rsid w:val="00950C55"/>
    <w:rsid w:val="00950CB3"/>
    <w:rsid w:val="00951B38"/>
    <w:rsid w:val="00951F51"/>
    <w:rsid w:val="009520ED"/>
    <w:rsid w:val="00952237"/>
    <w:rsid w:val="0095267E"/>
    <w:rsid w:val="00952EBB"/>
    <w:rsid w:val="00952F24"/>
    <w:rsid w:val="00952FD9"/>
    <w:rsid w:val="0095370E"/>
    <w:rsid w:val="00953B5D"/>
    <w:rsid w:val="00953D3D"/>
    <w:rsid w:val="00953F68"/>
    <w:rsid w:val="00953F86"/>
    <w:rsid w:val="00954231"/>
    <w:rsid w:val="009543D8"/>
    <w:rsid w:val="009545D6"/>
    <w:rsid w:val="00954608"/>
    <w:rsid w:val="00954F67"/>
    <w:rsid w:val="009555FD"/>
    <w:rsid w:val="0095581C"/>
    <w:rsid w:val="009558A5"/>
    <w:rsid w:val="00955AA9"/>
    <w:rsid w:val="00955AB2"/>
    <w:rsid w:val="00955E60"/>
    <w:rsid w:val="00955EC8"/>
    <w:rsid w:val="009567F5"/>
    <w:rsid w:val="0095699A"/>
    <w:rsid w:val="00956B34"/>
    <w:rsid w:val="0095702D"/>
    <w:rsid w:val="0095718C"/>
    <w:rsid w:val="009571A6"/>
    <w:rsid w:val="0095752A"/>
    <w:rsid w:val="009577C1"/>
    <w:rsid w:val="009602BA"/>
    <w:rsid w:val="00960D3A"/>
    <w:rsid w:val="00960F79"/>
    <w:rsid w:val="009615D7"/>
    <w:rsid w:val="00961D9E"/>
    <w:rsid w:val="009624CE"/>
    <w:rsid w:val="00962D17"/>
    <w:rsid w:val="00963D17"/>
    <w:rsid w:val="00963D45"/>
    <w:rsid w:val="009640B5"/>
    <w:rsid w:val="00964459"/>
    <w:rsid w:val="009657D5"/>
    <w:rsid w:val="00965F9F"/>
    <w:rsid w:val="00966141"/>
    <w:rsid w:val="0096620D"/>
    <w:rsid w:val="009662EC"/>
    <w:rsid w:val="00966611"/>
    <w:rsid w:val="0096661F"/>
    <w:rsid w:val="00966833"/>
    <w:rsid w:val="009669CC"/>
    <w:rsid w:val="00966C18"/>
    <w:rsid w:val="00967517"/>
    <w:rsid w:val="009675EB"/>
    <w:rsid w:val="00967655"/>
    <w:rsid w:val="009679FE"/>
    <w:rsid w:val="00967DD4"/>
    <w:rsid w:val="00967E53"/>
    <w:rsid w:val="00970345"/>
    <w:rsid w:val="009706DC"/>
    <w:rsid w:val="00970E13"/>
    <w:rsid w:val="00970F12"/>
    <w:rsid w:val="00970F1A"/>
    <w:rsid w:val="009710BF"/>
    <w:rsid w:val="00971874"/>
    <w:rsid w:val="00971E8F"/>
    <w:rsid w:val="00971F83"/>
    <w:rsid w:val="00972061"/>
    <w:rsid w:val="0097245C"/>
    <w:rsid w:val="009725FE"/>
    <w:rsid w:val="0097282B"/>
    <w:rsid w:val="00972DAC"/>
    <w:rsid w:val="0097392D"/>
    <w:rsid w:val="00973A35"/>
    <w:rsid w:val="00974A1E"/>
    <w:rsid w:val="0097559A"/>
    <w:rsid w:val="009759FA"/>
    <w:rsid w:val="00975D48"/>
    <w:rsid w:val="009763BA"/>
    <w:rsid w:val="00976546"/>
    <w:rsid w:val="009765F1"/>
    <w:rsid w:val="00976FCF"/>
    <w:rsid w:val="009804EA"/>
    <w:rsid w:val="00980BAC"/>
    <w:rsid w:val="00980C22"/>
    <w:rsid w:val="00980DF0"/>
    <w:rsid w:val="00980F3F"/>
    <w:rsid w:val="00981133"/>
    <w:rsid w:val="00981D1C"/>
    <w:rsid w:val="00982214"/>
    <w:rsid w:val="009823D4"/>
    <w:rsid w:val="00982474"/>
    <w:rsid w:val="00982E9C"/>
    <w:rsid w:val="00982FF8"/>
    <w:rsid w:val="00983285"/>
    <w:rsid w:val="0098350A"/>
    <w:rsid w:val="009838AB"/>
    <w:rsid w:val="00983F25"/>
    <w:rsid w:val="00984672"/>
    <w:rsid w:val="00984F97"/>
    <w:rsid w:val="00984FAF"/>
    <w:rsid w:val="0098569D"/>
    <w:rsid w:val="00985A09"/>
    <w:rsid w:val="00986277"/>
    <w:rsid w:val="009866A3"/>
    <w:rsid w:val="0098693D"/>
    <w:rsid w:val="00986B79"/>
    <w:rsid w:val="00986D0D"/>
    <w:rsid w:val="009871C7"/>
    <w:rsid w:val="00987E6A"/>
    <w:rsid w:val="0099011F"/>
    <w:rsid w:val="00990343"/>
    <w:rsid w:val="009905E1"/>
    <w:rsid w:val="0099064C"/>
    <w:rsid w:val="0099078A"/>
    <w:rsid w:val="0099097F"/>
    <w:rsid w:val="00990C73"/>
    <w:rsid w:val="0099105E"/>
    <w:rsid w:val="009916FA"/>
    <w:rsid w:val="00991974"/>
    <w:rsid w:val="00992097"/>
    <w:rsid w:val="00992869"/>
    <w:rsid w:val="00992914"/>
    <w:rsid w:val="00992C47"/>
    <w:rsid w:val="00993776"/>
    <w:rsid w:val="00993832"/>
    <w:rsid w:val="009938CB"/>
    <w:rsid w:val="00993F15"/>
    <w:rsid w:val="009944B9"/>
    <w:rsid w:val="00994587"/>
    <w:rsid w:val="009947D5"/>
    <w:rsid w:val="00994B69"/>
    <w:rsid w:val="00994E90"/>
    <w:rsid w:val="0099551B"/>
    <w:rsid w:val="009955E2"/>
    <w:rsid w:val="00995629"/>
    <w:rsid w:val="009959A5"/>
    <w:rsid w:val="00995B64"/>
    <w:rsid w:val="00995C16"/>
    <w:rsid w:val="00996206"/>
    <w:rsid w:val="0099625A"/>
    <w:rsid w:val="0099635A"/>
    <w:rsid w:val="009965BC"/>
    <w:rsid w:val="0099662E"/>
    <w:rsid w:val="00996F51"/>
    <w:rsid w:val="00997258"/>
    <w:rsid w:val="009979DC"/>
    <w:rsid w:val="00997C19"/>
    <w:rsid w:val="00997DAC"/>
    <w:rsid w:val="009A0415"/>
    <w:rsid w:val="009A04CD"/>
    <w:rsid w:val="009A0D6F"/>
    <w:rsid w:val="009A100D"/>
    <w:rsid w:val="009A177E"/>
    <w:rsid w:val="009A1AE9"/>
    <w:rsid w:val="009A1F1E"/>
    <w:rsid w:val="009A22E6"/>
    <w:rsid w:val="009A2486"/>
    <w:rsid w:val="009A2690"/>
    <w:rsid w:val="009A3307"/>
    <w:rsid w:val="009A3520"/>
    <w:rsid w:val="009A3547"/>
    <w:rsid w:val="009A39D1"/>
    <w:rsid w:val="009A39FF"/>
    <w:rsid w:val="009A3CB5"/>
    <w:rsid w:val="009A3EAF"/>
    <w:rsid w:val="009A3F33"/>
    <w:rsid w:val="009A4AA6"/>
    <w:rsid w:val="009A4ACB"/>
    <w:rsid w:val="009A54D4"/>
    <w:rsid w:val="009A5501"/>
    <w:rsid w:val="009A5AE0"/>
    <w:rsid w:val="009A5C6C"/>
    <w:rsid w:val="009A6376"/>
    <w:rsid w:val="009A6621"/>
    <w:rsid w:val="009A6AEA"/>
    <w:rsid w:val="009A6CC5"/>
    <w:rsid w:val="009A770E"/>
    <w:rsid w:val="009A7AD0"/>
    <w:rsid w:val="009B05B4"/>
    <w:rsid w:val="009B1F3A"/>
    <w:rsid w:val="009B21AC"/>
    <w:rsid w:val="009B2766"/>
    <w:rsid w:val="009B32F0"/>
    <w:rsid w:val="009B3CEC"/>
    <w:rsid w:val="009B3EB4"/>
    <w:rsid w:val="009B3F21"/>
    <w:rsid w:val="009B42BE"/>
    <w:rsid w:val="009B4D23"/>
    <w:rsid w:val="009B4F0B"/>
    <w:rsid w:val="009B58CF"/>
    <w:rsid w:val="009B5973"/>
    <w:rsid w:val="009B5B48"/>
    <w:rsid w:val="009B5BB4"/>
    <w:rsid w:val="009B5EDD"/>
    <w:rsid w:val="009B62E6"/>
    <w:rsid w:val="009B67C4"/>
    <w:rsid w:val="009B6A3F"/>
    <w:rsid w:val="009B6C5A"/>
    <w:rsid w:val="009B71E1"/>
    <w:rsid w:val="009B7A0A"/>
    <w:rsid w:val="009C0448"/>
    <w:rsid w:val="009C0615"/>
    <w:rsid w:val="009C0CF8"/>
    <w:rsid w:val="009C0ED7"/>
    <w:rsid w:val="009C125A"/>
    <w:rsid w:val="009C1AC7"/>
    <w:rsid w:val="009C1B2E"/>
    <w:rsid w:val="009C1EB2"/>
    <w:rsid w:val="009C2675"/>
    <w:rsid w:val="009C2839"/>
    <w:rsid w:val="009C28D4"/>
    <w:rsid w:val="009C294A"/>
    <w:rsid w:val="009C2DC4"/>
    <w:rsid w:val="009C3042"/>
    <w:rsid w:val="009C32C2"/>
    <w:rsid w:val="009C386A"/>
    <w:rsid w:val="009C3E76"/>
    <w:rsid w:val="009C3E9C"/>
    <w:rsid w:val="009C3EF2"/>
    <w:rsid w:val="009C43D6"/>
    <w:rsid w:val="009C4566"/>
    <w:rsid w:val="009C4A32"/>
    <w:rsid w:val="009C5908"/>
    <w:rsid w:val="009C599C"/>
    <w:rsid w:val="009C63AB"/>
    <w:rsid w:val="009C6667"/>
    <w:rsid w:val="009C69D0"/>
    <w:rsid w:val="009C69F4"/>
    <w:rsid w:val="009C6AAC"/>
    <w:rsid w:val="009C7163"/>
    <w:rsid w:val="009C77A3"/>
    <w:rsid w:val="009D019B"/>
    <w:rsid w:val="009D1082"/>
    <w:rsid w:val="009D10BE"/>
    <w:rsid w:val="009D20AC"/>
    <w:rsid w:val="009D20C9"/>
    <w:rsid w:val="009D21C8"/>
    <w:rsid w:val="009D2397"/>
    <w:rsid w:val="009D26D8"/>
    <w:rsid w:val="009D30F9"/>
    <w:rsid w:val="009D3192"/>
    <w:rsid w:val="009D31C0"/>
    <w:rsid w:val="009D322C"/>
    <w:rsid w:val="009D3340"/>
    <w:rsid w:val="009D334F"/>
    <w:rsid w:val="009D3527"/>
    <w:rsid w:val="009D372A"/>
    <w:rsid w:val="009D385B"/>
    <w:rsid w:val="009D3A26"/>
    <w:rsid w:val="009D3BAC"/>
    <w:rsid w:val="009D3EDD"/>
    <w:rsid w:val="009D48BA"/>
    <w:rsid w:val="009D4A7D"/>
    <w:rsid w:val="009D4B7E"/>
    <w:rsid w:val="009D4D48"/>
    <w:rsid w:val="009D4DC6"/>
    <w:rsid w:val="009D4E15"/>
    <w:rsid w:val="009D5106"/>
    <w:rsid w:val="009D56C8"/>
    <w:rsid w:val="009D5D38"/>
    <w:rsid w:val="009D5D42"/>
    <w:rsid w:val="009D5E99"/>
    <w:rsid w:val="009D653F"/>
    <w:rsid w:val="009D66B9"/>
    <w:rsid w:val="009D6B77"/>
    <w:rsid w:val="009D6CE1"/>
    <w:rsid w:val="009D6F44"/>
    <w:rsid w:val="009D70F7"/>
    <w:rsid w:val="009D7869"/>
    <w:rsid w:val="009E0AB5"/>
    <w:rsid w:val="009E12E3"/>
    <w:rsid w:val="009E14B2"/>
    <w:rsid w:val="009E16F2"/>
    <w:rsid w:val="009E1D15"/>
    <w:rsid w:val="009E1DFA"/>
    <w:rsid w:val="009E23ED"/>
    <w:rsid w:val="009E255E"/>
    <w:rsid w:val="009E26BC"/>
    <w:rsid w:val="009E322C"/>
    <w:rsid w:val="009E3352"/>
    <w:rsid w:val="009E3479"/>
    <w:rsid w:val="009E387D"/>
    <w:rsid w:val="009E453D"/>
    <w:rsid w:val="009E45F8"/>
    <w:rsid w:val="009E49B8"/>
    <w:rsid w:val="009E5013"/>
    <w:rsid w:val="009E526A"/>
    <w:rsid w:val="009E567C"/>
    <w:rsid w:val="009E56B0"/>
    <w:rsid w:val="009E5917"/>
    <w:rsid w:val="009E6223"/>
    <w:rsid w:val="009E6390"/>
    <w:rsid w:val="009E665A"/>
    <w:rsid w:val="009E725F"/>
    <w:rsid w:val="009E7437"/>
    <w:rsid w:val="009E79CF"/>
    <w:rsid w:val="009E7F2E"/>
    <w:rsid w:val="009F009C"/>
    <w:rsid w:val="009F0345"/>
    <w:rsid w:val="009F04F2"/>
    <w:rsid w:val="009F060A"/>
    <w:rsid w:val="009F0A8F"/>
    <w:rsid w:val="009F1DD1"/>
    <w:rsid w:val="009F2161"/>
    <w:rsid w:val="009F231C"/>
    <w:rsid w:val="009F23E3"/>
    <w:rsid w:val="009F2512"/>
    <w:rsid w:val="009F29F3"/>
    <w:rsid w:val="009F2C7D"/>
    <w:rsid w:val="009F30E5"/>
    <w:rsid w:val="009F4094"/>
    <w:rsid w:val="009F40CE"/>
    <w:rsid w:val="009F41D5"/>
    <w:rsid w:val="009F4BDF"/>
    <w:rsid w:val="009F4CDA"/>
    <w:rsid w:val="009F59BF"/>
    <w:rsid w:val="009F5D42"/>
    <w:rsid w:val="009F5F68"/>
    <w:rsid w:val="009F70CE"/>
    <w:rsid w:val="009F776E"/>
    <w:rsid w:val="009F7FAE"/>
    <w:rsid w:val="00A0036F"/>
    <w:rsid w:val="00A00B19"/>
    <w:rsid w:val="00A00F42"/>
    <w:rsid w:val="00A01519"/>
    <w:rsid w:val="00A0195A"/>
    <w:rsid w:val="00A0268F"/>
    <w:rsid w:val="00A02D3C"/>
    <w:rsid w:val="00A02EE8"/>
    <w:rsid w:val="00A032EA"/>
    <w:rsid w:val="00A034B9"/>
    <w:rsid w:val="00A0408F"/>
    <w:rsid w:val="00A04E68"/>
    <w:rsid w:val="00A05975"/>
    <w:rsid w:val="00A05DDC"/>
    <w:rsid w:val="00A05EAA"/>
    <w:rsid w:val="00A0608D"/>
    <w:rsid w:val="00A060BE"/>
    <w:rsid w:val="00A0695E"/>
    <w:rsid w:val="00A07487"/>
    <w:rsid w:val="00A07D26"/>
    <w:rsid w:val="00A07D2F"/>
    <w:rsid w:val="00A1036E"/>
    <w:rsid w:val="00A104A1"/>
    <w:rsid w:val="00A10D80"/>
    <w:rsid w:val="00A10FC7"/>
    <w:rsid w:val="00A11671"/>
    <w:rsid w:val="00A117EF"/>
    <w:rsid w:val="00A1187C"/>
    <w:rsid w:val="00A11EEF"/>
    <w:rsid w:val="00A12CCC"/>
    <w:rsid w:val="00A12D1A"/>
    <w:rsid w:val="00A12E07"/>
    <w:rsid w:val="00A12F3D"/>
    <w:rsid w:val="00A13A4E"/>
    <w:rsid w:val="00A15566"/>
    <w:rsid w:val="00A15AC9"/>
    <w:rsid w:val="00A15B2D"/>
    <w:rsid w:val="00A163CD"/>
    <w:rsid w:val="00A165FB"/>
    <w:rsid w:val="00A16778"/>
    <w:rsid w:val="00A16910"/>
    <w:rsid w:val="00A16B57"/>
    <w:rsid w:val="00A171BF"/>
    <w:rsid w:val="00A17873"/>
    <w:rsid w:val="00A20207"/>
    <w:rsid w:val="00A20224"/>
    <w:rsid w:val="00A20BC5"/>
    <w:rsid w:val="00A21424"/>
    <w:rsid w:val="00A21624"/>
    <w:rsid w:val="00A218FB"/>
    <w:rsid w:val="00A21997"/>
    <w:rsid w:val="00A21A06"/>
    <w:rsid w:val="00A21E67"/>
    <w:rsid w:val="00A220FF"/>
    <w:rsid w:val="00A22EE6"/>
    <w:rsid w:val="00A23A98"/>
    <w:rsid w:val="00A241EE"/>
    <w:rsid w:val="00A24217"/>
    <w:rsid w:val="00A24255"/>
    <w:rsid w:val="00A244E9"/>
    <w:rsid w:val="00A24622"/>
    <w:rsid w:val="00A246A3"/>
    <w:rsid w:val="00A259A8"/>
    <w:rsid w:val="00A25ABB"/>
    <w:rsid w:val="00A25E39"/>
    <w:rsid w:val="00A267F3"/>
    <w:rsid w:val="00A26827"/>
    <w:rsid w:val="00A26D47"/>
    <w:rsid w:val="00A26DA7"/>
    <w:rsid w:val="00A26E58"/>
    <w:rsid w:val="00A26F41"/>
    <w:rsid w:val="00A26F88"/>
    <w:rsid w:val="00A26FEE"/>
    <w:rsid w:val="00A275D1"/>
    <w:rsid w:val="00A27B57"/>
    <w:rsid w:val="00A27EC4"/>
    <w:rsid w:val="00A3071F"/>
    <w:rsid w:val="00A30BC2"/>
    <w:rsid w:val="00A313B3"/>
    <w:rsid w:val="00A31CE5"/>
    <w:rsid w:val="00A31D00"/>
    <w:rsid w:val="00A31F9C"/>
    <w:rsid w:val="00A32051"/>
    <w:rsid w:val="00A32AE0"/>
    <w:rsid w:val="00A32B77"/>
    <w:rsid w:val="00A32BB4"/>
    <w:rsid w:val="00A3367C"/>
    <w:rsid w:val="00A33BE0"/>
    <w:rsid w:val="00A33CCF"/>
    <w:rsid w:val="00A33DA2"/>
    <w:rsid w:val="00A3561C"/>
    <w:rsid w:val="00A35D65"/>
    <w:rsid w:val="00A362D0"/>
    <w:rsid w:val="00A36901"/>
    <w:rsid w:val="00A36CF6"/>
    <w:rsid w:val="00A36EC5"/>
    <w:rsid w:val="00A37703"/>
    <w:rsid w:val="00A37793"/>
    <w:rsid w:val="00A37DDD"/>
    <w:rsid w:val="00A37EDA"/>
    <w:rsid w:val="00A4035D"/>
    <w:rsid w:val="00A40648"/>
    <w:rsid w:val="00A408E6"/>
    <w:rsid w:val="00A40C00"/>
    <w:rsid w:val="00A413A3"/>
    <w:rsid w:val="00A42D84"/>
    <w:rsid w:val="00A43248"/>
    <w:rsid w:val="00A43270"/>
    <w:rsid w:val="00A44522"/>
    <w:rsid w:val="00A44C3B"/>
    <w:rsid w:val="00A452AE"/>
    <w:rsid w:val="00A4539E"/>
    <w:rsid w:val="00A458FF"/>
    <w:rsid w:val="00A46080"/>
    <w:rsid w:val="00A461CB"/>
    <w:rsid w:val="00A46252"/>
    <w:rsid w:val="00A4683E"/>
    <w:rsid w:val="00A469A3"/>
    <w:rsid w:val="00A46C6C"/>
    <w:rsid w:val="00A46EB1"/>
    <w:rsid w:val="00A4777E"/>
    <w:rsid w:val="00A47961"/>
    <w:rsid w:val="00A47A54"/>
    <w:rsid w:val="00A47C59"/>
    <w:rsid w:val="00A501FA"/>
    <w:rsid w:val="00A50925"/>
    <w:rsid w:val="00A50FEC"/>
    <w:rsid w:val="00A5183F"/>
    <w:rsid w:val="00A51FC3"/>
    <w:rsid w:val="00A528CF"/>
    <w:rsid w:val="00A52FAE"/>
    <w:rsid w:val="00A53062"/>
    <w:rsid w:val="00A532FC"/>
    <w:rsid w:val="00A53624"/>
    <w:rsid w:val="00A53C0C"/>
    <w:rsid w:val="00A544FA"/>
    <w:rsid w:val="00A54F72"/>
    <w:rsid w:val="00A5551B"/>
    <w:rsid w:val="00A565B6"/>
    <w:rsid w:val="00A567E2"/>
    <w:rsid w:val="00A56806"/>
    <w:rsid w:val="00A57008"/>
    <w:rsid w:val="00A57F15"/>
    <w:rsid w:val="00A60066"/>
    <w:rsid w:val="00A60146"/>
    <w:rsid w:val="00A60179"/>
    <w:rsid w:val="00A61782"/>
    <w:rsid w:val="00A61FDA"/>
    <w:rsid w:val="00A62958"/>
    <w:rsid w:val="00A62A7E"/>
    <w:rsid w:val="00A62AC7"/>
    <w:rsid w:val="00A63850"/>
    <w:rsid w:val="00A63B5C"/>
    <w:rsid w:val="00A64501"/>
    <w:rsid w:val="00A64787"/>
    <w:rsid w:val="00A648E9"/>
    <w:rsid w:val="00A64EA6"/>
    <w:rsid w:val="00A64EEB"/>
    <w:rsid w:val="00A65C38"/>
    <w:rsid w:val="00A6654A"/>
    <w:rsid w:val="00A66592"/>
    <w:rsid w:val="00A66C0D"/>
    <w:rsid w:val="00A6764D"/>
    <w:rsid w:val="00A678C2"/>
    <w:rsid w:val="00A67934"/>
    <w:rsid w:val="00A67D4A"/>
    <w:rsid w:val="00A703AE"/>
    <w:rsid w:val="00A70415"/>
    <w:rsid w:val="00A709AE"/>
    <w:rsid w:val="00A70DCB"/>
    <w:rsid w:val="00A70E5B"/>
    <w:rsid w:val="00A71E2D"/>
    <w:rsid w:val="00A71FD1"/>
    <w:rsid w:val="00A720C2"/>
    <w:rsid w:val="00A7248F"/>
    <w:rsid w:val="00A726DC"/>
    <w:rsid w:val="00A72733"/>
    <w:rsid w:val="00A7282C"/>
    <w:rsid w:val="00A72BC8"/>
    <w:rsid w:val="00A72C04"/>
    <w:rsid w:val="00A72FE2"/>
    <w:rsid w:val="00A73341"/>
    <w:rsid w:val="00A73F96"/>
    <w:rsid w:val="00A748ED"/>
    <w:rsid w:val="00A75386"/>
    <w:rsid w:val="00A7593A"/>
    <w:rsid w:val="00A7597F"/>
    <w:rsid w:val="00A75B2B"/>
    <w:rsid w:val="00A75D3F"/>
    <w:rsid w:val="00A764CD"/>
    <w:rsid w:val="00A768C8"/>
    <w:rsid w:val="00A76986"/>
    <w:rsid w:val="00A76C21"/>
    <w:rsid w:val="00A77312"/>
    <w:rsid w:val="00A77553"/>
    <w:rsid w:val="00A77727"/>
    <w:rsid w:val="00A8004B"/>
    <w:rsid w:val="00A803FE"/>
    <w:rsid w:val="00A80DB3"/>
    <w:rsid w:val="00A80FA9"/>
    <w:rsid w:val="00A811B7"/>
    <w:rsid w:val="00A8153C"/>
    <w:rsid w:val="00A818FB"/>
    <w:rsid w:val="00A81A53"/>
    <w:rsid w:val="00A81BE3"/>
    <w:rsid w:val="00A8226A"/>
    <w:rsid w:val="00A82941"/>
    <w:rsid w:val="00A82B36"/>
    <w:rsid w:val="00A832FD"/>
    <w:rsid w:val="00A834D6"/>
    <w:rsid w:val="00A83994"/>
    <w:rsid w:val="00A83DBC"/>
    <w:rsid w:val="00A8412E"/>
    <w:rsid w:val="00A84178"/>
    <w:rsid w:val="00A846B9"/>
    <w:rsid w:val="00A84746"/>
    <w:rsid w:val="00A847AE"/>
    <w:rsid w:val="00A84D2C"/>
    <w:rsid w:val="00A85084"/>
    <w:rsid w:val="00A85243"/>
    <w:rsid w:val="00A855FE"/>
    <w:rsid w:val="00A85836"/>
    <w:rsid w:val="00A85B3E"/>
    <w:rsid w:val="00A85E79"/>
    <w:rsid w:val="00A85F29"/>
    <w:rsid w:val="00A8613B"/>
    <w:rsid w:val="00A86203"/>
    <w:rsid w:val="00A865FB"/>
    <w:rsid w:val="00A86933"/>
    <w:rsid w:val="00A86D62"/>
    <w:rsid w:val="00A87242"/>
    <w:rsid w:val="00A873BA"/>
    <w:rsid w:val="00A87740"/>
    <w:rsid w:val="00A87982"/>
    <w:rsid w:val="00A87C2F"/>
    <w:rsid w:val="00A904F2"/>
    <w:rsid w:val="00A90A9D"/>
    <w:rsid w:val="00A911A0"/>
    <w:rsid w:val="00A91363"/>
    <w:rsid w:val="00A91450"/>
    <w:rsid w:val="00A91B0D"/>
    <w:rsid w:val="00A91B63"/>
    <w:rsid w:val="00A920B1"/>
    <w:rsid w:val="00A92564"/>
    <w:rsid w:val="00A925A2"/>
    <w:rsid w:val="00A92949"/>
    <w:rsid w:val="00A92954"/>
    <w:rsid w:val="00A92C54"/>
    <w:rsid w:val="00A92D1A"/>
    <w:rsid w:val="00A92DB9"/>
    <w:rsid w:val="00A93429"/>
    <w:rsid w:val="00A93738"/>
    <w:rsid w:val="00A937B4"/>
    <w:rsid w:val="00A9401F"/>
    <w:rsid w:val="00A94084"/>
    <w:rsid w:val="00A9446E"/>
    <w:rsid w:val="00A94AD0"/>
    <w:rsid w:val="00A94C69"/>
    <w:rsid w:val="00A953A8"/>
    <w:rsid w:val="00A96852"/>
    <w:rsid w:val="00A96A10"/>
    <w:rsid w:val="00A96B2E"/>
    <w:rsid w:val="00A96C21"/>
    <w:rsid w:val="00A96D6C"/>
    <w:rsid w:val="00A9791D"/>
    <w:rsid w:val="00A97B20"/>
    <w:rsid w:val="00A97D4A"/>
    <w:rsid w:val="00A97DB8"/>
    <w:rsid w:val="00AA0209"/>
    <w:rsid w:val="00AA037A"/>
    <w:rsid w:val="00AA03A6"/>
    <w:rsid w:val="00AA0923"/>
    <w:rsid w:val="00AA1128"/>
    <w:rsid w:val="00AA1200"/>
    <w:rsid w:val="00AA1A7C"/>
    <w:rsid w:val="00AA1ADA"/>
    <w:rsid w:val="00AA1C70"/>
    <w:rsid w:val="00AA1D26"/>
    <w:rsid w:val="00AA20B3"/>
    <w:rsid w:val="00AA23BF"/>
    <w:rsid w:val="00AA2A7D"/>
    <w:rsid w:val="00AA2A95"/>
    <w:rsid w:val="00AA2B3A"/>
    <w:rsid w:val="00AA2ECC"/>
    <w:rsid w:val="00AA3495"/>
    <w:rsid w:val="00AA3975"/>
    <w:rsid w:val="00AA3A3E"/>
    <w:rsid w:val="00AA3B94"/>
    <w:rsid w:val="00AA3C94"/>
    <w:rsid w:val="00AA41D4"/>
    <w:rsid w:val="00AA4203"/>
    <w:rsid w:val="00AA4775"/>
    <w:rsid w:val="00AA488F"/>
    <w:rsid w:val="00AA4B4C"/>
    <w:rsid w:val="00AA530A"/>
    <w:rsid w:val="00AA53A0"/>
    <w:rsid w:val="00AA5515"/>
    <w:rsid w:val="00AA553A"/>
    <w:rsid w:val="00AA567F"/>
    <w:rsid w:val="00AA583C"/>
    <w:rsid w:val="00AA65CF"/>
    <w:rsid w:val="00AA6A88"/>
    <w:rsid w:val="00AA6BC6"/>
    <w:rsid w:val="00AA6C0F"/>
    <w:rsid w:val="00AA6FE6"/>
    <w:rsid w:val="00AB02DD"/>
    <w:rsid w:val="00AB045C"/>
    <w:rsid w:val="00AB05BB"/>
    <w:rsid w:val="00AB090C"/>
    <w:rsid w:val="00AB0CD9"/>
    <w:rsid w:val="00AB0F68"/>
    <w:rsid w:val="00AB0F9A"/>
    <w:rsid w:val="00AB1160"/>
    <w:rsid w:val="00AB1411"/>
    <w:rsid w:val="00AB142E"/>
    <w:rsid w:val="00AB1C10"/>
    <w:rsid w:val="00AB1E0D"/>
    <w:rsid w:val="00AB212D"/>
    <w:rsid w:val="00AB23D0"/>
    <w:rsid w:val="00AB2F1F"/>
    <w:rsid w:val="00AB32C1"/>
    <w:rsid w:val="00AB332F"/>
    <w:rsid w:val="00AB3552"/>
    <w:rsid w:val="00AB414A"/>
    <w:rsid w:val="00AB4649"/>
    <w:rsid w:val="00AB49C3"/>
    <w:rsid w:val="00AB4E52"/>
    <w:rsid w:val="00AB55F8"/>
    <w:rsid w:val="00AB5624"/>
    <w:rsid w:val="00AB5DF2"/>
    <w:rsid w:val="00AB688E"/>
    <w:rsid w:val="00AB6C4D"/>
    <w:rsid w:val="00AB7633"/>
    <w:rsid w:val="00AB7866"/>
    <w:rsid w:val="00AC0289"/>
    <w:rsid w:val="00AC0894"/>
    <w:rsid w:val="00AC1D3B"/>
    <w:rsid w:val="00AC1D7C"/>
    <w:rsid w:val="00AC226A"/>
    <w:rsid w:val="00AC246C"/>
    <w:rsid w:val="00AC26BF"/>
    <w:rsid w:val="00AC2FB2"/>
    <w:rsid w:val="00AC32FB"/>
    <w:rsid w:val="00AC34C0"/>
    <w:rsid w:val="00AC3A14"/>
    <w:rsid w:val="00AC3ADE"/>
    <w:rsid w:val="00AC3F58"/>
    <w:rsid w:val="00AC45FF"/>
    <w:rsid w:val="00AC4C92"/>
    <w:rsid w:val="00AC4E28"/>
    <w:rsid w:val="00AC4E71"/>
    <w:rsid w:val="00AC4F7E"/>
    <w:rsid w:val="00AC5700"/>
    <w:rsid w:val="00AC5A64"/>
    <w:rsid w:val="00AC6EDF"/>
    <w:rsid w:val="00AC7042"/>
    <w:rsid w:val="00AC752F"/>
    <w:rsid w:val="00AC7B8D"/>
    <w:rsid w:val="00AC7D54"/>
    <w:rsid w:val="00AC7E49"/>
    <w:rsid w:val="00AD099F"/>
    <w:rsid w:val="00AD0AEE"/>
    <w:rsid w:val="00AD16B8"/>
    <w:rsid w:val="00AD1A22"/>
    <w:rsid w:val="00AD1C10"/>
    <w:rsid w:val="00AD1F69"/>
    <w:rsid w:val="00AD2565"/>
    <w:rsid w:val="00AD2CE1"/>
    <w:rsid w:val="00AD2E7B"/>
    <w:rsid w:val="00AD2F8F"/>
    <w:rsid w:val="00AD3550"/>
    <w:rsid w:val="00AD3685"/>
    <w:rsid w:val="00AD3798"/>
    <w:rsid w:val="00AD3F4F"/>
    <w:rsid w:val="00AD403C"/>
    <w:rsid w:val="00AD4153"/>
    <w:rsid w:val="00AD4281"/>
    <w:rsid w:val="00AD44ED"/>
    <w:rsid w:val="00AD477D"/>
    <w:rsid w:val="00AD4838"/>
    <w:rsid w:val="00AD5420"/>
    <w:rsid w:val="00AD55ED"/>
    <w:rsid w:val="00AD56CF"/>
    <w:rsid w:val="00AD5DDB"/>
    <w:rsid w:val="00AD5E3E"/>
    <w:rsid w:val="00AD60B8"/>
    <w:rsid w:val="00AD60EF"/>
    <w:rsid w:val="00AD612C"/>
    <w:rsid w:val="00AD615C"/>
    <w:rsid w:val="00AD734C"/>
    <w:rsid w:val="00AD7770"/>
    <w:rsid w:val="00AD7922"/>
    <w:rsid w:val="00AE0164"/>
    <w:rsid w:val="00AE0413"/>
    <w:rsid w:val="00AE05BF"/>
    <w:rsid w:val="00AE07D2"/>
    <w:rsid w:val="00AE0B1C"/>
    <w:rsid w:val="00AE0D8D"/>
    <w:rsid w:val="00AE1DC1"/>
    <w:rsid w:val="00AE1EC6"/>
    <w:rsid w:val="00AE21C3"/>
    <w:rsid w:val="00AE23C8"/>
    <w:rsid w:val="00AE265A"/>
    <w:rsid w:val="00AE308D"/>
    <w:rsid w:val="00AE36D1"/>
    <w:rsid w:val="00AE3DDB"/>
    <w:rsid w:val="00AE4A64"/>
    <w:rsid w:val="00AE52FB"/>
    <w:rsid w:val="00AE5771"/>
    <w:rsid w:val="00AE59FC"/>
    <w:rsid w:val="00AE6AAF"/>
    <w:rsid w:val="00AE6E2E"/>
    <w:rsid w:val="00AE6E97"/>
    <w:rsid w:val="00AE758E"/>
    <w:rsid w:val="00AE7F69"/>
    <w:rsid w:val="00AF059D"/>
    <w:rsid w:val="00AF077D"/>
    <w:rsid w:val="00AF0992"/>
    <w:rsid w:val="00AF0C7C"/>
    <w:rsid w:val="00AF0D62"/>
    <w:rsid w:val="00AF0EB3"/>
    <w:rsid w:val="00AF11F8"/>
    <w:rsid w:val="00AF1281"/>
    <w:rsid w:val="00AF14C8"/>
    <w:rsid w:val="00AF1F4F"/>
    <w:rsid w:val="00AF23D9"/>
    <w:rsid w:val="00AF290E"/>
    <w:rsid w:val="00AF29D9"/>
    <w:rsid w:val="00AF29FA"/>
    <w:rsid w:val="00AF2CA1"/>
    <w:rsid w:val="00AF37D5"/>
    <w:rsid w:val="00AF381B"/>
    <w:rsid w:val="00AF3895"/>
    <w:rsid w:val="00AF3B84"/>
    <w:rsid w:val="00AF3F63"/>
    <w:rsid w:val="00AF4345"/>
    <w:rsid w:val="00AF44BF"/>
    <w:rsid w:val="00AF463B"/>
    <w:rsid w:val="00AF4CC5"/>
    <w:rsid w:val="00AF4D6D"/>
    <w:rsid w:val="00AF5319"/>
    <w:rsid w:val="00AF5CE6"/>
    <w:rsid w:val="00AF608B"/>
    <w:rsid w:val="00AF650A"/>
    <w:rsid w:val="00AF6A59"/>
    <w:rsid w:val="00AF71D6"/>
    <w:rsid w:val="00AF73B1"/>
    <w:rsid w:val="00AF75A9"/>
    <w:rsid w:val="00AF7BDD"/>
    <w:rsid w:val="00B00F8C"/>
    <w:rsid w:val="00B00FEC"/>
    <w:rsid w:val="00B01693"/>
    <w:rsid w:val="00B01B75"/>
    <w:rsid w:val="00B0205C"/>
    <w:rsid w:val="00B02145"/>
    <w:rsid w:val="00B0256F"/>
    <w:rsid w:val="00B02F0C"/>
    <w:rsid w:val="00B030F5"/>
    <w:rsid w:val="00B03776"/>
    <w:rsid w:val="00B03ED8"/>
    <w:rsid w:val="00B0401D"/>
    <w:rsid w:val="00B04179"/>
    <w:rsid w:val="00B042D2"/>
    <w:rsid w:val="00B04D98"/>
    <w:rsid w:val="00B04E8D"/>
    <w:rsid w:val="00B04EF9"/>
    <w:rsid w:val="00B04F50"/>
    <w:rsid w:val="00B0542F"/>
    <w:rsid w:val="00B05A05"/>
    <w:rsid w:val="00B05B87"/>
    <w:rsid w:val="00B06495"/>
    <w:rsid w:val="00B064F1"/>
    <w:rsid w:val="00B0654F"/>
    <w:rsid w:val="00B06ACE"/>
    <w:rsid w:val="00B06D89"/>
    <w:rsid w:val="00B06DA3"/>
    <w:rsid w:val="00B0702B"/>
    <w:rsid w:val="00B071D5"/>
    <w:rsid w:val="00B0733E"/>
    <w:rsid w:val="00B07446"/>
    <w:rsid w:val="00B07FE8"/>
    <w:rsid w:val="00B102A5"/>
    <w:rsid w:val="00B107AE"/>
    <w:rsid w:val="00B109DF"/>
    <w:rsid w:val="00B10E7D"/>
    <w:rsid w:val="00B10EEF"/>
    <w:rsid w:val="00B10EF0"/>
    <w:rsid w:val="00B118E1"/>
    <w:rsid w:val="00B11A39"/>
    <w:rsid w:val="00B11A5F"/>
    <w:rsid w:val="00B11A9A"/>
    <w:rsid w:val="00B11F1F"/>
    <w:rsid w:val="00B120CF"/>
    <w:rsid w:val="00B1210E"/>
    <w:rsid w:val="00B1243E"/>
    <w:rsid w:val="00B12940"/>
    <w:rsid w:val="00B129BD"/>
    <w:rsid w:val="00B12BDA"/>
    <w:rsid w:val="00B12CE6"/>
    <w:rsid w:val="00B131F4"/>
    <w:rsid w:val="00B132F8"/>
    <w:rsid w:val="00B1367A"/>
    <w:rsid w:val="00B13BE0"/>
    <w:rsid w:val="00B13D2B"/>
    <w:rsid w:val="00B13F2E"/>
    <w:rsid w:val="00B14011"/>
    <w:rsid w:val="00B14793"/>
    <w:rsid w:val="00B15075"/>
    <w:rsid w:val="00B15774"/>
    <w:rsid w:val="00B15CC5"/>
    <w:rsid w:val="00B15CFE"/>
    <w:rsid w:val="00B15DB9"/>
    <w:rsid w:val="00B16B86"/>
    <w:rsid w:val="00B16E95"/>
    <w:rsid w:val="00B1780E"/>
    <w:rsid w:val="00B17F47"/>
    <w:rsid w:val="00B200D3"/>
    <w:rsid w:val="00B2060E"/>
    <w:rsid w:val="00B20DCF"/>
    <w:rsid w:val="00B20F8A"/>
    <w:rsid w:val="00B215EB"/>
    <w:rsid w:val="00B21A5C"/>
    <w:rsid w:val="00B22023"/>
    <w:rsid w:val="00B22522"/>
    <w:rsid w:val="00B2288A"/>
    <w:rsid w:val="00B23BF0"/>
    <w:rsid w:val="00B24772"/>
    <w:rsid w:val="00B24D66"/>
    <w:rsid w:val="00B24E84"/>
    <w:rsid w:val="00B258AF"/>
    <w:rsid w:val="00B260D9"/>
    <w:rsid w:val="00B264B0"/>
    <w:rsid w:val="00B26CDB"/>
    <w:rsid w:val="00B26ECF"/>
    <w:rsid w:val="00B27444"/>
    <w:rsid w:val="00B274AA"/>
    <w:rsid w:val="00B2752B"/>
    <w:rsid w:val="00B27734"/>
    <w:rsid w:val="00B27771"/>
    <w:rsid w:val="00B27787"/>
    <w:rsid w:val="00B27833"/>
    <w:rsid w:val="00B278D7"/>
    <w:rsid w:val="00B30188"/>
    <w:rsid w:val="00B303DC"/>
    <w:rsid w:val="00B3091E"/>
    <w:rsid w:val="00B31602"/>
    <w:rsid w:val="00B3174B"/>
    <w:rsid w:val="00B319FE"/>
    <w:rsid w:val="00B3232C"/>
    <w:rsid w:val="00B331B8"/>
    <w:rsid w:val="00B334B4"/>
    <w:rsid w:val="00B33786"/>
    <w:rsid w:val="00B337A4"/>
    <w:rsid w:val="00B34725"/>
    <w:rsid w:val="00B355F0"/>
    <w:rsid w:val="00B3578C"/>
    <w:rsid w:val="00B35AA1"/>
    <w:rsid w:val="00B35E63"/>
    <w:rsid w:val="00B369C4"/>
    <w:rsid w:val="00B36D9E"/>
    <w:rsid w:val="00B37019"/>
    <w:rsid w:val="00B37311"/>
    <w:rsid w:val="00B37387"/>
    <w:rsid w:val="00B373FB"/>
    <w:rsid w:val="00B37975"/>
    <w:rsid w:val="00B4106F"/>
    <w:rsid w:val="00B41BE7"/>
    <w:rsid w:val="00B41D75"/>
    <w:rsid w:val="00B424F7"/>
    <w:rsid w:val="00B42568"/>
    <w:rsid w:val="00B4316E"/>
    <w:rsid w:val="00B4339F"/>
    <w:rsid w:val="00B436BD"/>
    <w:rsid w:val="00B4376E"/>
    <w:rsid w:val="00B4381B"/>
    <w:rsid w:val="00B4383C"/>
    <w:rsid w:val="00B4403D"/>
    <w:rsid w:val="00B44317"/>
    <w:rsid w:val="00B447F3"/>
    <w:rsid w:val="00B44CAA"/>
    <w:rsid w:val="00B456A5"/>
    <w:rsid w:val="00B45847"/>
    <w:rsid w:val="00B460A1"/>
    <w:rsid w:val="00B46275"/>
    <w:rsid w:val="00B464C7"/>
    <w:rsid w:val="00B464FA"/>
    <w:rsid w:val="00B4658A"/>
    <w:rsid w:val="00B4733F"/>
    <w:rsid w:val="00B4758E"/>
    <w:rsid w:val="00B477AD"/>
    <w:rsid w:val="00B47CBB"/>
    <w:rsid w:val="00B502BC"/>
    <w:rsid w:val="00B5083E"/>
    <w:rsid w:val="00B50A1F"/>
    <w:rsid w:val="00B50ADB"/>
    <w:rsid w:val="00B50B87"/>
    <w:rsid w:val="00B515B6"/>
    <w:rsid w:val="00B51604"/>
    <w:rsid w:val="00B517DA"/>
    <w:rsid w:val="00B5197B"/>
    <w:rsid w:val="00B51F64"/>
    <w:rsid w:val="00B5248D"/>
    <w:rsid w:val="00B53B4E"/>
    <w:rsid w:val="00B53B9B"/>
    <w:rsid w:val="00B53C5F"/>
    <w:rsid w:val="00B53CFF"/>
    <w:rsid w:val="00B53F86"/>
    <w:rsid w:val="00B54BD8"/>
    <w:rsid w:val="00B54C55"/>
    <w:rsid w:val="00B5508A"/>
    <w:rsid w:val="00B5596C"/>
    <w:rsid w:val="00B569B2"/>
    <w:rsid w:val="00B56FBD"/>
    <w:rsid w:val="00B5715A"/>
    <w:rsid w:val="00B57327"/>
    <w:rsid w:val="00B57F2F"/>
    <w:rsid w:val="00B57FE9"/>
    <w:rsid w:val="00B6002D"/>
    <w:rsid w:val="00B6010B"/>
    <w:rsid w:val="00B61262"/>
    <w:rsid w:val="00B6210A"/>
    <w:rsid w:val="00B6220A"/>
    <w:rsid w:val="00B62608"/>
    <w:rsid w:val="00B629F3"/>
    <w:rsid w:val="00B6358B"/>
    <w:rsid w:val="00B63C08"/>
    <w:rsid w:val="00B64041"/>
    <w:rsid w:val="00B640CF"/>
    <w:rsid w:val="00B654AD"/>
    <w:rsid w:val="00B65828"/>
    <w:rsid w:val="00B65E01"/>
    <w:rsid w:val="00B665BB"/>
    <w:rsid w:val="00B66800"/>
    <w:rsid w:val="00B668CA"/>
    <w:rsid w:val="00B66AB0"/>
    <w:rsid w:val="00B66D54"/>
    <w:rsid w:val="00B66E77"/>
    <w:rsid w:val="00B673B0"/>
    <w:rsid w:val="00B677D7"/>
    <w:rsid w:val="00B67A93"/>
    <w:rsid w:val="00B7095E"/>
    <w:rsid w:val="00B70C27"/>
    <w:rsid w:val="00B70ED8"/>
    <w:rsid w:val="00B710E0"/>
    <w:rsid w:val="00B7162D"/>
    <w:rsid w:val="00B71DA0"/>
    <w:rsid w:val="00B71E56"/>
    <w:rsid w:val="00B71F90"/>
    <w:rsid w:val="00B72438"/>
    <w:rsid w:val="00B727DF"/>
    <w:rsid w:val="00B72CF9"/>
    <w:rsid w:val="00B72EE9"/>
    <w:rsid w:val="00B730F2"/>
    <w:rsid w:val="00B73637"/>
    <w:rsid w:val="00B73942"/>
    <w:rsid w:val="00B73D34"/>
    <w:rsid w:val="00B742C1"/>
    <w:rsid w:val="00B74720"/>
    <w:rsid w:val="00B74AA2"/>
    <w:rsid w:val="00B74C99"/>
    <w:rsid w:val="00B74DC7"/>
    <w:rsid w:val="00B75032"/>
    <w:rsid w:val="00B750D5"/>
    <w:rsid w:val="00B7591C"/>
    <w:rsid w:val="00B75D1D"/>
    <w:rsid w:val="00B75E98"/>
    <w:rsid w:val="00B75F68"/>
    <w:rsid w:val="00B76A3F"/>
    <w:rsid w:val="00B76A7D"/>
    <w:rsid w:val="00B76CE1"/>
    <w:rsid w:val="00B76DEB"/>
    <w:rsid w:val="00B776D5"/>
    <w:rsid w:val="00B776E3"/>
    <w:rsid w:val="00B77B7E"/>
    <w:rsid w:val="00B805D0"/>
    <w:rsid w:val="00B80744"/>
    <w:rsid w:val="00B80979"/>
    <w:rsid w:val="00B81382"/>
    <w:rsid w:val="00B818AA"/>
    <w:rsid w:val="00B81B66"/>
    <w:rsid w:val="00B81BC2"/>
    <w:rsid w:val="00B81C2F"/>
    <w:rsid w:val="00B81C75"/>
    <w:rsid w:val="00B81D8F"/>
    <w:rsid w:val="00B81EEF"/>
    <w:rsid w:val="00B81F26"/>
    <w:rsid w:val="00B821DC"/>
    <w:rsid w:val="00B82628"/>
    <w:rsid w:val="00B82EBA"/>
    <w:rsid w:val="00B8344D"/>
    <w:rsid w:val="00B83812"/>
    <w:rsid w:val="00B83CC3"/>
    <w:rsid w:val="00B840BB"/>
    <w:rsid w:val="00B84898"/>
    <w:rsid w:val="00B84C9F"/>
    <w:rsid w:val="00B8525F"/>
    <w:rsid w:val="00B853BC"/>
    <w:rsid w:val="00B856E9"/>
    <w:rsid w:val="00B85774"/>
    <w:rsid w:val="00B85893"/>
    <w:rsid w:val="00B85BDF"/>
    <w:rsid w:val="00B86429"/>
    <w:rsid w:val="00B8648F"/>
    <w:rsid w:val="00B866C7"/>
    <w:rsid w:val="00B86EF1"/>
    <w:rsid w:val="00B86EFB"/>
    <w:rsid w:val="00B8735F"/>
    <w:rsid w:val="00B87563"/>
    <w:rsid w:val="00B87EBC"/>
    <w:rsid w:val="00B87FF0"/>
    <w:rsid w:val="00B903AE"/>
    <w:rsid w:val="00B90825"/>
    <w:rsid w:val="00B9084F"/>
    <w:rsid w:val="00B90862"/>
    <w:rsid w:val="00B90DD5"/>
    <w:rsid w:val="00B912EC"/>
    <w:rsid w:val="00B915DD"/>
    <w:rsid w:val="00B917AC"/>
    <w:rsid w:val="00B91B14"/>
    <w:rsid w:val="00B91F77"/>
    <w:rsid w:val="00B92626"/>
    <w:rsid w:val="00B926AC"/>
    <w:rsid w:val="00B92E6B"/>
    <w:rsid w:val="00B92FAB"/>
    <w:rsid w:val="00B93043"/>
    <w:rsid w:val="00B93431"/>
    <w:rsid w:val="00B93500"/>
    <w:rsid w:val="00B93522"/>
    <w:rsid w:val="00B93D97"/>
    <w:rsid w:val="00B940B6"/>
    <w:rsid w:val="00B94392"/>
    <w:rsid w:val="00B94D75"/>
    <w:rsid w:val="00B95504"/>
    <w:rsid w:val="00B955F5"/>
    <w:rsid w:val="00B95663"/>
    <w:rsid w:val="00B95A36"/>
    <w:rsid w:val="00B95A93"/>
    <w:rsid w:val="00B95B92"/>
    <w:rsid w:val="00B95CCC"/>
    <w:rsid w:val="00B95F44"/>
    <w:rsid w:val="00B9611F"/>
    <w:rsid w:val="00B961EA"/>
    <w:rsid w:val="00B968FE"/>
    <w:rsid w:val="00B96D3C"/>
    <w:rsid w:val="00B97577"/>
    <w:rsid w:val="00B97B8F"/>
    <w:rsid w:val="00BA0FE9"/>
    <w:rsid w:val="00BA103F"/>
    <w:rsid w:val="00BA139F"/>
    <w:rsid w:val="00BA16BA"/>
    <w:rsid w:val="00BA1A0B"/>
    <w:rsid w:val="00BA1A82"/>
    <w:rsid w:val="00BA1D11"/>
    <w:rsid w:val="00BA1E22"/>
    <w:rsid w:val="00BA1E85"/>
    <w:rsid w:val="00BA359B"/>
    <w:rsid w:val="00BA3A93"/>
    <w:rsid w:val="00BA3DF2"/>
    <w:rsid w:val="00BA434D"/>
    <w:rsid w:val="00BA46E8"/>
    <w:rsid w:val="00BA4732"/>
    <w:rsid w:val="00BA4D05"/>
    <w:rsid w:val="00BA4F45"/>
    <w:rsid w:val="00BA5165"/>
    <w:rsid w:val="00BA5599"/>
    <w:rsid w:val="00BA5A40"/>
    <w:rsid w:val="00BA5E00"/>
    <w:rsid w:val="00BA5FD5"/>
    <w:rsid w:val="00BA62AB"/>
    <w:rsid w:val="00BA7E0B"/>
    <w:rsid w:val="00BB0053"/>
    <w:rsid w:val="00BB0DE3"/>
    <w:rsid w:val="00BB0EA0"/>
    <w:rsid w:val="00BB10CD"/>
    <w:rsid w:val="00BB10F0"/>
    <w:rsid w:val="00BB122E"/>
    <w:rsid w:val="00BB1A82"/>
    <w:rsid w:val="00BB1DD9"/>
    <w:rsid w:val="00BB20DC"/>
    <w:rsid w:val="00BB25BB"/>
    <w:rsid w:val="00BB287A"/>
    <w:rsid w:val="00BB2DD8"/>
    <w:rsid w:val="00BB318A"/>
    <w:rsid w:val="00BB320E"/>
    <w:rsid w:val="00BB3EB9"/>
    <w:rsid w:val="00BB4389"/>
    <w:rsid w:val="00BB4973"/>
    <w:rsid w:val="00BB4A6F"/>
    <w:rsid w:val="00BB56B1"/>
    <w:rsid w:val="00BB5759"/>
    <w:rsid w:val="00BB5A30"/>
    <w:rsid w:val="00BB5A46"/>
    <w:rsid w:val="00BB5B98"/>
    <w:rsid w:val="00BB6407"/>
    <w:rsid w:val="00BB718E"/>
    <w:rsid w:val="00BB7BAC"/>
    <w:rsid w:val="00BB7F7D"/>
    <w:rsid w:val="00BC009A"/>
    <w:rsid w:val="00BC057A"/>
    <w:rsid w:val="00BC0598"/>
    <w:rsid w:val="00BC08D8"/>
    <w:rsid w:val="00BC08FC"/>
    <w:rsid w:val="00BC1010"/>
    <w:rsid w:val="00BC13CC"/>
    <w:rsid w:val="00BC1799"/>
    <w:rsid w:val="00BC202D"/>
    <w:rsid w:val="00BC213B"/>
    <w:rsid w:val="00BC2821"/>
    <w:rsid w:val="00BC2964"/>
    <w:rsid w:val="00BC3112"/>
    <w:rsid w:val="00BC3776"/>
    <w:rsid w:val="00BC39C4"/>
    <w:rsid w:val="00BC3D8E"/>
    <w:rsid w:val="00BC3E6F"/>
    <w:rsid w:val="00BC3E7F"/>
    <w:rsid w:val="00BC41B5"/>
    <w:rsid w:val="00BC4C63"/>
    <w:rsid w:val="00BC53C2"/>
    <w:rsid w:val="00BC54D1"/>
    <w:rsid w:val="00BC58C5"/>
    <w:rsid w:val="00BC5FA7"/>
    <w:rsid w:val="00BC6308"/>
    <w:rsid w:val="00BC63B9"/>
    <w:rsid w:val="00BC63FE"/>
    <w:rsid w:val="00BC666D"/>
    <w:rsid w:val="00BC67A4"/>
    <w:rsid w:val="00BC6AA4"/>
    <w:rsid w:val="00BC6B4D"/>
    <w:rsid w:val="00BC6C4F"/>
    <w:rsid w:val="00BC75C4"/>
    <w:rsid w:val="00BC76AA"/>
    <w:rsid w:val="00BC793F"/>
    <w:rsid w:val="00BD09C5"/>
    <w:rsid w:val="00BD1290"/>
    <w:rsid w:val="00BD1A5A"/>
    <w:rsid w:val="00BD1CFB"/>
    <w:rsid w:val="00BD2AAB"/>
    <w:rsid w:val="00BD2B8F"/>
    <w:rsid w:val="00BD2F3F"/>
    <w:rsid w:val="00BD35B9"/>
    <w:rsid w:val="00BD369D"/>
    <w:rsid w:val="00BD36EC"/>
    <w:rsid w:val="00BD4A52"/>
    <w:rsid w:val="00BD51CA"/>
    <w:rsid w:val="00BD5459"/>
    <w:rsid w:val="00BD5CD2"/>
    <w:rsid w:val="00BD5F3C"/>
    <w:rsid w:val="00BD77DE"/>
    <w:rsid w:val="00BD79C2"/>
    <w:rsid w:val="00BE0515"/>
    <w:rsid w:val="00BE1162"/>
    <w:rsid w:val="00BE1F2E"/>
    <w:rsid w:val="00BE1FA7"/>
    <w:rsid w:val="00BE2AD7"/>
    <w:rsid w:val="00BE2BAA"/>
    <w:rsid w:val="00BE2FF7"/>
    <w:rsid w:val="00BE4F8D"/>
    <w:rsid w:val="00BE50E1"/>
    <w:rsid w:val="00BE590A"/>
    <w:rsid w:val="00BE5DC6"/>
    <w:rsid w:val="00BE6179"/>
    <w:rsid w:val="00BE66A5"/>
    <w:rsid w:val="00BE6A22"/>
    <w:rsid w:val="00BE6FA3"/>
    <w:rsid w:val="00BE71DF"/>
    <w:rsid w:val="00BE770F"/>
    <w:rsid w:val="00BE778C"/>
    <w:rsid w:val="00BE77C4"/>
    <w:rsid w:val="00BE7FE3"/>
    <w:rsid w:val="00BF01D4"/>
    <w:rsid w:val="00BF0463"/>
    <w:rsid w:val="00BF0C20"/>
    <w:rsid w:val="00BF0CFC"/>
    <w:rsid w:val="00BF11F8"/>
    <w:rsid w:val="00BF1B9B"/>
    <w:rsid w:val="00BF20FB"/>
    <w:rsid w:val="00BF2355"/>
    <w:rsid w:val="00BF2997"/>
    <w:rsid w:val="00BF2B28"/>
    <w:rsid w:val="00BF2B84"/>
    <w:rsid w:val="00BF3A7A"/>
    <w:rsid w:val="00BF4C22"/>
    <w:rsid w:val="00BF4CD1"/>
    <w:rsid w:val="00BF4DD7"/>
    <w:rsid w:val="00BF51E4"/>
    <w:rsid w:val="00BF5900"/>
    <w:rsid w:val="00BF59E2"/>
    <w:rsid w:val="00BF6043"/>
    <w:rsid w:val="00BF76ED"/>
    <w:rsid w:val="00BF774F"/>
    <w:rsid w:val="00BF7850"/>
    <w:rsid w:val="00C00156"/>
    <w:rsid w:val="00C003C3"/>
    <w:rsid w:val="00C006F6"/>
    <w:rsid w:val="00C00838"/>
    <w:rsid w:val="00C008C6"/>
    <w:rsid w:val="00C00BE6"/>
    <w:rsid w:val="00C00F80"/>
    <w:rsid w:val="00C01250"/>
    <w:rsid w:val="00C01619"/>
    <w:rsid w:val="00C02C01"/>
    <w:rsid w:val="00C03041"/>
    <w:rsid w:val="00C035DA"/>
    <w:rsid w:val="00C03815"/>
    <w:rsid w:val="00C041F4"/>
    <w:rsid w:val="00C04C59"/>
    <w:rsid w:val="00C050C3"/>
    <w:rsid w:val="00C0524E"/>
    <w:rsid w:val="00C05428"/>
    <w:rsid w:val="00C058A3"/>
    <w:rsid w:val="00C05E05"/>
    <w:rsid w:val="00C06B5A"/>
    <w:rsid w:val="00C0711F"/>
    <w:rsid w:val="00C077E1"/>
    <w:rsid w:val="00C079C7"/>
    <w:rsid w:val="00C07B2D"/>
    <w:rsid w:val="00C107BE"/>
    <w:rsid w:val="00C10BD0"/>
    <w:rsid w:val="00C10C03"/>
    <w:rsid w:val="00C112F7"/>
    <w:rsid w:val="00C1161D"/>
    <w:rsid w:val="00C117E7"/>
    <w:rsid w:val="00C11E13"/>
    <w:rsid w:val="00C12CC4"/>
    <w:rsid w:val="00C12CE6"/>
    <w:rsid w:val="00C12D9C"/>
    <w:rsid w:val="00C13208"/>
    <w:rsid w:val="00C133F5"/>
    <w:rsid w:val="00C13413"/>
    <w:rsid w:val="00C1360E"/>
    <w:rsid w:val="00C13819"/>
    <w:rsid w:val="00C13CCA"/>
    <w:rsid w:val="00C142EA"/>
    <w:rsid w:val="00C1475A"/>
    <w:rsid w:val="00C14863"/>
    <w:rsid w:val="00C14AD2"/>
    <w:rsid w:val="00C14CA5"/>
    <w:rsid w:val="00C14E4D"/>
    <w:rsid w:val="00C14FCC"/>
    <w:rsid w:val="00C15750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20001"/>
    <w:rsid w:val="00C20358"/>
    <w:rsid w:val="00C20A09"/>
    <w:rsid w:val="00C20AEB"/>
    <w:rsid w:val="00C20F22"/>
    <w:rsid w:val="00C21336"/>
    <w:rsid w:val="00C2161D"/>
    <w:rsid w:val="00C21FF8"/>
    <w:rsid w:val="00C22012"/>
    <w:rsid w:val="00C220F2"/>
    <w:rsid w:val="00C223A0"/>
    <w:rsid w:val="00C23BBD"/>
    <w:rsid w:val="00C23E3D"/>
    <w:rsid w:val="00C2455C"/>
    <w:rsid w:val="00C24638"/>
    <w:rsid w:val="00C24E22"/>
    <w:rsid w:val="00C26495"/>
    <w:rsid w:val="00C267EA"/>
    <w:rsid w:val="00C26B77"/>
    <w:rsid w:val="00C273ED"/>
    <w:rsid w:val="00C27447"/>
    <w:rsid w:val="00C27891"/>
    <w:rsid w:val="00C27D45"/>
    <w:rsid w:val="00C27D6F"/>
    <w:rsid w:val="00C300F5"/>
    <w:rsid w:val="00C30304"/>
    <w:rsid w:val="00C30395"/>
    <w:rsid w:val="00C30AED"/>
    <w:rsid w:val="00C30BEE"/>
    <w:rsid w:val="00C31073"/>
    <w:rsid w:val="00C314B5"/>
    <w:rsid w:val="00C32532"/>
    <w:rsid w:val="00C32570"/>
    <w:rsid w:val="00C32C1E"/>
    <w:rsid w:val="00C32D53"/>
    <w:rsid w:val="00C32F69"/>
    <w:rsid w:val="00C3312E"/>
    <w:rsid w:val="00C3346E"/>
    <w:rsid w:val="00C337CD"/>
    <w:rsid w:val="00C33CD5"/>
    <w:rsid w:val="00C340CF"/>
    <w:rsid w:val="00C34101"/>
    <w:rsid w:val="00C348FE"/>
    <w:rsid w:val="00C34FBC"/>
    <w:rsid w:val="00C35087"/>
    <w:rsid w:val="00C35140"/>
    <w:rsid w:val="00C3523B"/>
    <w:rsid w:val="00C35947"/>
    <w:rsid w:val="00C3595E"/>
    <w:rsid w:val="00C35C46"/>
    <w:rsid w:val="00C36119"/>
    <w:rsid w:val="00C36B6C"/>
    <w:rsid w:val="00C36FFE"/>
    <w:rsid w:val="00C40A83"/>
    <w:rsid w:val="00C40D37"/>
    <w:rsid w:val="00C40F06"/>
    <w:rsid w:val="00C40FA8"/>
    <w:rsid w:val="00C412E1"/>
    <w:rsid w:val="00C413EC"/>
    <w:rsid w:val="00C416FD"/>
    <w:rsid w:val="00C41E73"/>
    <w:rsid w:val="00C41F28"/>
    <w:rsid w:val="00C41FA0"/>
    <w:rsid w:val="00C424ED"/>
    <w:rsid w:val="00C4271F"/>
    <w:rsid w:val="00C42A40"/>
    <w:rsid w:val="00C42A6C"/>
    <w:rsid w:val="00C42B60"/>
    <w:rsid w:val="00C43292"/>
    <w:rsid w:val="00C43E4A"/>
    <w:rsid w:val="00C43FD4"/>
    <w:rsid w:val="00C4445E"/>
    <w:rsid w:val="00C44846"/>
    <w:rsid w:val="00C45A51"/>
    <w:rsid w:val="00C463BA"/>
    <w:rsid w:val="00C469E3"/>
    <w:rsid w:val="00C46CCD"/>
    <w:rsid w:val="00C47155"/>
    <w:rsid w:val="00C47902"/>
    <w:rsid w:val="00C47987"/>
    <w:rsid w:val="00C47B25"/>
    <w:rsid w:val="00C47CD2"/>
    <w:rsid w:val="00C47D56"/>
    <w:rsid w:val="00C510DE"/>
    <w:rsid w:val="00C52F64"/>
    <w:rsid w:val="00C53085"/>
    <w:rsid w:val="00C536E4"/>
    <w:rsid w:val="00C538AE"/>
    <w:rsid w:val="00C53C32"/>
    <w:rsid w:val="00C53E7A"/>
    <w:rsid w:val="00C53F3D"/>
    <w:rsid w:val="00C54492"/>
    <w:rsid w:val="00C544B6"/>
    <w:rsid w:val="00C54601"/>
    <w:rsid w:val="00C54815"/>
    <w:rsid w:val="00C54E26"/>
    <w:rsid w:val="00C54F8F"/>
    <w:rsid w:val="00C55D06"/>
    <w:rsid w:val="00C564C9"/>
    <w:rsid w:val="00C56A84"/>
    <w:rsid w:val="00C573C7"/>
    <w:rsid w:val="00C575E8"/>
    <w:rsid w:val="00C5777E"/>
    <w:rsid w:val="00C57A9A"/>
    <w:rsid w:val="00C57EB0"/>
    <w:rsid w:val="00C60984"/>
    <w:rsid w:val="00C60E33"/>
    <w:rsid w:val="00C6105E"/>
    <w:rsid w:val="00C6111A"/>
    <w:rsid w:val="00C615DC"/>
    <w:rsid w:val="00C61801"/>
    <w:rsid w:val="00C618DF"/>
    <w:rsid w:val="00C61F7C"/>
    <w:rsid w:val="00C62213"/>
    <w:rsid w:val="00C623F5"/>
    <w:rsid w:val="00C633F9"/>
    <w:rsid w:val="00C63BD8"/>
    <w:rsid w:val="00C65030"/>
    <w:rsid w:val="00C652A1"/>
    <w:rsid w:val="00C655E4"/>
    <w:rsid w:val="00C65738"/>
    <w:rsid w:val="00C6590A"/>
    <w:rsid w:val="00C65FFB"/>
    <w:rsid w:val="00C66663"/>
    <w:rsid w:val="00C668D8"/>
    <w:rsid w:val="00C66AAF"/>
    <w:rsid w:val="00C66BCD"/>
    <w:rsid w:val="00C66E74"/>
    <w:rsid w:val="00C67029"/>
    <w:rsid w:val="00C67091"/>
    <w:rsid w:val="00C6717B"/>
    <w:rsid w:val="00C67CCE"/>
    <w:rsid w:val="00C70067"/>
    <w:rsid w:val="00C70B38"/>
    <w:rsid w:val="00C70B43"/>
    <w:rsid w:val="00C70F10"/>
    <w:rsid w:val="00C71316"/>
    <w:rsid w:val="00C714F2"/>
    <w:rsid w:val="00C71A56"/>
    <w:rsid w:val="00C72FA0"/>
    <w:rsid w:val="00C730CC"/>
    <w:rsid w:val="00C73705"/>
    <w:rsid w:val="00C73FB7"/>
    <w:rsid w:val="00C740DE"/>
    <w:rsid w:val="00C7532A"/>
    <w:rsid w:val="00C75721"/>
    <w:rsid w:val="00C760A6"/>
    <w:rsid w:val="00C762B7"/>
    <w:rsid w:val="00C763D3"/>
    <w:rsid w:val="00C7676F"/>
    <w:rsid w:val="00C76825"/>
    <w:rsid w:val="00C76D83"/>
    <w:rsid w:val="00C76F95"/>
    <w:rsid w:val="00C77B63"/>
    <w:rsid w:val="00C77C4B"/>
    <w:rsid w:val="00C77D50"/>
    <w:rsid w:val="00C77F77"/>
    <w:rsid w:val="00C80DC6"/>
    <w:rsid w:val="00C815E4"/>
    <w:rsid w:val="00C819F5"/>
    <w:rsid w:val="00C822CB"/>
    <w:rsid w:val="00C8290C"/>
    <w:rsid w:val="00C82CB0"/>
    <w:rsid w:val="00C83021"/>
    <w:rsid w:val="00C83162"/>
    <w:rsid w:val="00C835DE"/>
    <w:rsid w:val="00C84C25"/>
    <w:rsid w:val="00C8512B"/>
    <w:rsid w:val="00C8565C"/>
    <w:rsid w:val="00C858C8"/>
    <w:rsid w:val="00C85A79"/>
    <w:rsid w:val="00C86242"/>
    <w:rsid w:val="00C8632D"/>
    <w:rsid w:val="00C86B22"/>
    <w:rsid w:val="00C86D64"/>
    <w:rsid w:val="00C87CDD"/>
    <w:rsid w:val="00C909EE"/>
    <w:rsid w:val="00C90E27"/>
    <w:rsid w:val="00C910ED"/>
    <w:rsid w:val="00C914C9"/>
    <w:rsid w:val="00C9156F"/>
    <w:rsid w:val="00C91E57"/>
    <w:rsid w:val="00C920BB"/>
    <w:rsid w:val="00C922E8"/>
    <w:rsid w:val="00C9291B"/>
    <w:rsid w:val="00C93188"/>
    <w:rsid w:val="00C94446"/>
    <w:rsid w:val="00C949BA"/>
    <w:rsid w:val="00C94A1B"/>
    <w:rsid w:val="00C94EF3"/>
    <w:rsid w:val="00C952A9"/>
    <w:rsid w:val="00C9534F"/>
    <w:rsid w:val="00C95E98"/>
    <w:rsid w:val="00C95F67"/>
    <w:rsid w:val="00C961C0"/>
    <w:rsid w:val="00C965E4"/>
    <w:rsid w:val="00C971B0"/>
    <w:rsid w:val="00C9720C"/>
    <w:rsid w:val="00C9739A"/>
    <w:rsid w:val="00CA13BF"/>
    <w:rsid w:val="00CA13F7"/>
    <w:rsid w:val="00CA1463"/>
    <w:rsid w:val="00CA14DE"/>
    <w:rsid w:val="00CA1D38"/>
    <w:rsid w:val="00CA2595"/>
    <w:rsid w:val="00CA29B8"/>
    <w:rsid w:val="00CA2A57"/>
    <w:rsid w:val="00CA2C4B"/>
    <w:rsid w:val="00CA30A9"/>
    <w:rsid w:val="00CA35EC"/>
    <w:rsid w:val="00CA3CB4"/>
    <w:rsid w:val="00CA3D36"/>
    <w:rsid w:val="00CA3EC4"/>
    <w:rsid w:val="00CA40DD"/>
    <w:rsid w:val="00CA4249"/>
    <w:rsid w:val="00CA4EF3"/>
    <w:rsid w:val="00CA5426"/>
    <w:rsid w:val="00CA575F"/>
    <w:rsid w:val="00CA57D4"/>
    <w:rsid w:val="00CA6F7C"/>
    <w:rsid w:val="00CA7AC2"/>
    <w:rsid w:val="00CA7C8E"/>
    <w:rsid w:val="00CA7EEF"/>
    <w:rsid w:val="00CB0265"/>
    <w:rsid w:val="00CB0652"/>
    <w:rsid w:val="00CB085F"/>
    <w:rsid w:val="00CB095E"/>
    <w:rsid w:val="00CB0A8A"/>
    <w:rsid w:val="00CB0E18"/>
    <w:rsid w:val="00CB138C"/>
    <w:rsid w:val="00CB13CD"/>
    <w:rsid w:val="00CB1BD3"/>
    <w:rsid w:val="00CB21EF"/>
    <w:rsid w:val="00CB26B1"/>
    <w:rsid w:val="00CB2714"/>
    <w:rsid w:val="00CB2824"/>
    <w:rsid w:val="00CB2C75"/>
    <w:rsid w:val="00CB2F95"/>
    <w:rsid w:val="00CB30E7"/>
    <w:rsid w:val="00CB3270"/>
    <w:rsid w:val="00CB33AA"/>
    <w:rsid w:val="00CB3823"/>
    <w:rsid w:val="00CB46E0"/>
    <w:rsid w:val="00CB4DA4"/>
    <w:rsid w:val="00CB4F36"/>
    <w:rsid w:val="00CB557A"/>
    <w:rsid w:val="00CB6108"/>
    <w:rsid w:val="00CB644A"/>
    <w:rsid w:val="00CB65A6"/>
    <w:rsid w:val="00CB6FAF"/>
    <w:rsid w:val="00CB7071"/>
    <w:rsid w:val="00CB75C3"/>
    <w:rsid w:val="00CB75F9"/>
    <w:rsid w:val="00CB7D14"/>
    <w:rsid w:val="00CB7D9F"/>
    <w:rsid w:val="00CC07A1"/>
    <w:rsid w:val="00CC0824"/>
    <w:rsid w:val="00CC0840"/>
    <w:rsid w:val="00CC08D7"/>
    <w:rsid w:val="00CC0A9A"/>
    <w:rsid w:val="00CC0EA3"/>
    <w:rsid w:val="00CC156F"/>
    <w:rsid w:val="00CC1AEE"/>
    <w:rsid w:val="00CC2B9C"/>
    <w:rsid w:val="00CC2BDD"/>
    <w:rsid w:val="00CC30D6"/>
    <w:rsid w:val="00CC326E"/>
    <w:rsid w:val="00CC378A"/>
    <w:rsid w:val="00CC38EE"/>
    <w:rsid w:val="00CC4867"/>
    <w:rsid w:val="00CC51C4"/>
    <w:rsid w:val="00CC566D"/>
    <w:rsid w:val="00CC5CA4"/>
    <w:rsid w:val="00CC60CD"/>
    <w:rsid w:val="00CC6AA6"/>
    <w:rsid w:val="00CC6ACF"/>
    <w:rsid w:val="00CC722F"/>
    <w:rsid w:val="00CC726E"/>
    <w:rsid w:val="00CC7476"/>
    <w:rsid w:val="00CC75EE"/>
    <w:rsid w:val="00CC7CE7"/>
    <w:rsid w:val="00CD01C6"/>
    <w:rsid w:val="00CD0BAE"/>
    <w:rsid w:val="00CD1017"/>
    <w:rsid w:val="00CD129C"/>
    <w:rsid w:val="00CD12BA"/>
    <w:rsid w:val="00CD181E"/>
    <w:rsid w:val="00CD2688"/>
    <w:rsid w:val="00CD2B6B"/>
    <w:rsid w:val="00CD2C45"/>
    <w:rsid w:val="00CD2CD2"/>
    <w:rsid w:val="00CD387C"/>
    <w:rsid w:val="00CD474C"/>
    <w:rsid w:val="00CD5589"/>
    <w:rsid w:val="00CD5A21"/>
    <w:rsid w:val="00CD5CCC"/>
    <w:rsid w:val="00CD6B16"/>
    <w:rsid w:val="00CD6B5E"/>
    <w:rsid w:val="00CD7045"/>
    <w:rsid w:val="00CD71C4"/>
    <w:rsid w:val="00CD7422"/>
    <w:rsid w:val="00CD7AA0"/>
    <w:rsid w:val="00CE0343"/>
    <w:rsid w:val="00CE0950"/>
    <w:rsid w:val="00CE0FC5"/>
    <w:rsid w:val="00CE11D8"/>
    <w:rsid w:val="00CE1648"/>
    <w:rsid w:val="00CE1A90"/>
    <w:rsid w:val="00CE1BDF"/>
    <w:rsid w:val="00CE1C5C"/>
    <w:rsid w:val="00CE1CA9"/>
    <w:rsid w:val="00CE1E07"/>
    <w:rsid w:val="00CE2567"/>
    <w:rsid w:val="00CE2A65"/>
    <w:rsid w:val="00CE2D19"/>
    <w:rsid w:val="00CE2E49"/>
    <w:rsid w:val="00CE3037"/>
    <w:rsid w:val="00CE32AD"/>
    <w:rsid w:val="00CE3361"/>
    <w:rsid w:val="00CE3435"/>
    <w:rsid w:val="00CE3F49"/>
    <w:rsid w:val="00CE4946"/>
    <w:rsid w:val="00CE49B0"/>
    <w:rsid w:val="00CE4D55"/>
    <w:rsid w:val="00CE4EA8"/>
    <w:rsid w:val="00CE5261"/>
    <w:rsid w:val="00CE5829"/>
    <w:rsid w:val="00CE584B"/>
    <w:rsid w:val="00CE5A0A"/>
    <w:rsid w:val="00CE62C6"/>
    <w:rsid w:val="00CE6C5C"/>
    <w:rsid w:val="00CE72F6"/>
    <w:rsid w:val="00CE73DC"/>
    <w:rsid w:val="00CE7E82"/>
    <w:rsid w:val="00CE7FF2"/>
    <w:rsid w:val="00CF063B"/>
    <w:rsid w:val="00CF0B25"/>
    <w:rsid w:val="00CF0C99"/>
    <w:rsid w:val="00CF0E8B"/>
    <w:rsid w:val="00CF1090"/>
    <w:rsid w:val="00CF12A2"/>
    <w:rsid w:val="00CF12DA"/>
    <w:rsid w:val="00CF1AB9"/>
    <w:rsid w:val="00CF1B03"/>
    <w:rsid w:val="00CF1B1E"/>
    <w:rsid w:val="00CF1E58"/>
    <w:rsid w:val="00CF1F79"/>
    <w:rsid w:val="00CF22C6"/>
    <w:rsid w:val="00CF2B1C"/>
    <w:rsid w:val="00CF2B8E"/>
    <w:rsid w:val="00CF39B2"/>
    <w:rsid w:val="00CF3E3D"/>
    <w:rsid w:val="00CF4060"/>
    <w:rsid w:val="00CF52EB"/>
    <w:rsid w:val="00CF57AF"/>
    <w:rsid w:val="00CF585D"/>
    <w:rsid w:val="00CF5CA8"/>
    <w:rsid w:val="00CF66AC"/>
    <w:rsid w:val="00CF6EA9"/>
    <w:rsid w:val="00CF70D5"/>
    <w:rsid w:val="00CF715E"/>
    <w:rsid w:val="00CF72BD"/>
    <w:rsid w:val="00CF767E"/>
    <w:rsid w:val="00CF78C0"/>
    <w:rsid w:val="00CF793A"/>
    <w:rsid w:val="00CF7A51"/>
    <w:rsid w:val="00CF7BB5"/>
    <w:rsid w:val="00D004E5"/>
    <w:rsid w:val="00D00C54"/>
    <w:rsid w:val="00D015A8"/>
    <w:rsid w:val="00D01F47"/>
    <w:rsid w:val="00D024F9"/>
    <w:rsid w:val="00D027F9"/>
    <w:rsid w:val="00D032AA"/>
    <w:rsid w:val="00D03690"/>
    <w:rsid w:val="00D03A3E"/>
    <w:rsid w:val="00D03B1A"/>
    <w:rsid w:val="00D03D46"/>
    <w:rsid w:val="00D03E97"/>
    <w:rsid w:val="00D04005"/>
    <w:rsid w:val="00D040BB"/>
    <w:rsid w:val="00D048B5"/>
    <w:rsid w:val="00D056E9"/>
    <w:rsid w:val="00D05CB6"/>
    <w:rsid w:val="00D05E3B"/>
    <w:rsid w:val="00D061FC"/>
    <w:rsid w:val="00D06325"/>
    <w:rsid w:val="00D06DF0"/>
    <w:rsid w:val="00D07684"/>
    <w:rsid w:val="00D076A6"/>
    <w:rsid w:val="00D0789A"/>
    <w:rsid w:val="00D07F59"/>
    <w:rsid w:val="00D1026B"/>
    <w:rsid w:val="00D104B2"/>
    <w:rsid w:val="00D10986"/>
    <w:rsid w:val="00D11877"/>
    <w:rsid w:val="00D1188C"/>
    <w:rsid w:val="00D11BB2"/>
    <w:rsid w:val="00D120DE"/>
    <w:rsid w:val="00D121DB"/>
    <w:rsid w:val="00D123F2"/>
    <w:rsid w:val="00D124B3"/>
    <w:rsid w:val="00D12D14"/>
    <w:rsid w:val="00D12F1F"/>
    <w:rsid w:val="00D13207"/>
    <w:rsid w:val="00D13358"/>
    <w:rsid w:val="00D1342C"/>
    <w:rsid w:val="00D13B39"/>
    <w:rsid w:val="00D13F37"/>
    <w:rsid w:val="00D1421E"/>
    <w:rsid w:val="00D142DE"/>
    <w:rsid w:val="00D142FA"/>
    <w:rsid w:val="00D143C6"/>
    <w:rsid w:val="00D14873"/>
    <w:rsid w:val="00D14C06"/>
    <w:rsid w:val="00D14DAF"/>
    <w:rsid w:val="00D151F4"/>
    <w:rsid w:val="00D1564A"/>
    <w:rsid w:val="00D156E5"/>
    <w:rsid w:val="00D158B3"/>
    <w:rsid w:val="00D15A0B"/>
    <w:rsid w:val="00D15AF0"/>
    <w:rsid w:val="00D15D3B"/>
    <w:rsid w:val="00D16747"/>
    <w:rsid w:val="00D16B73"/>
    <w:rsid w:val="00D175C7"/>
    <w:rsid w:val="00D17E09"/>
    <w:rsid w:val="00D20886"/>
    <w:rsid w:val="00D2104F"/>
    <w:rsid w:val="00D2112C"/>
    <w:rsid w:val="00D219C1"/>
    <w:rsid w:val="00D22D2E"/>
    <w:rsid w:val="00D22E00"/>
    <w:rsid w:val="00D240A6"/>
    <w:rsid w:val="00D251E6"/>
    <w:rsid w:val="00D259B0"/>
    <w:rsid w:val="00D26097"/>
    <w:rsid w:val="00D261C5"/>
    <w:rsid w:val="00D26391"/>
    <w:rsid w:val="00D2699D"/>
    <w:rsid w:val="00D27111"/>
    <w:rsid w:val="00D27747"/>
    <w:rsid w:val="00D27B2F"/>
    <w:rsid w:val="00D27BF7"/>
    <w:rsid w:val="00D30729"/>
    <w:rsid w:val="00D30E9C"/>
    <w:rsid w:val="00D30EAF"/>
    <w:rsid w:val="00D30F60"/>
    <w:rsid w:val="00D3127E"/>
    <w:rsid w:val="00D314F6"/>
    <w:rsid w:val="00D31A4F"/>
    <w:rsid w:val="00D31D6C"/>
    <w:rsid w:val="00D31D99"/>
    <w:rsid w:val="00D31FAE"/>
    <w:rsid w:val="00D32CDD"/>
    <w:rsid w:val="00D32E0D"/>
    <w:rsid w:val="00D32E5B"/>
    <w:rsid w:val="00D3326D"/>
    <w:rsid w:val="00D333A0"/>
    <w:rsid w:val="00D33748"/>
    <w:rsid w:val="00D33977"/>
    <w:rsid w:val="00D34097"/>
    <w:rsid w:val="00D34174"/>
    <w:rsid w:val="00D3471E"/>
    <w:rsid w:val="00D3544C"/>
    <w:rsid w:val="00D361A1"/>
    <w:rsid w:val="00D3719F"/>
    <w:rsid w:val="00D371C8"/>
    <w:rsid w:val="00D373B0"/>
    <w:rsid w:val="00D4061B"/>
    <w:rsid w:val="00D41CAE"/>
    <w:rsid w:val="00D423BC"/>
    <w:rsid w:val="00D4284F"/>
    <w:rsid w:val="00D431DA"/>
    <w:rsid w:val="00D43450"/>
    <w:rsid w:val="00D434B9"/>
    <w:rsid w:val="00D43926"/>
    <w:rsid w:val="00D43D75"/>
    <w:rsid w:val="00D43F48"/>
    <w:rsid w:val="00D43F90"/>
    <w:rsid w:val="00D44156"/>
    <w:rsid w:val="00D44198"/>
    <w:rsid w:val="00D4427C"/>
    <w:rsid w:val="00D445B3"/>
    <w:rsid w:val="00D44AD0"/>
    <w:rsid w:val="00D453B5"/>
    <w:rsid w:val="00D45977"/>
    <w:rsid w:val="00D46DAA"/>
    <w:rsid w:val="00D46DBF"/>
    <w:rsid w:val="00D46F26"/>
    <w:rsid w:val="00D473E9"/>
    <w:rsid w:val="00D47408"/>
    <w:rsid w:val="00D4746B"/>
    <w:rsid w:val="00D47591"/>
    <w:rsid w:val="00D50F4A"/>
    <w:rsid w:val="00D51089"/>
    <w:rsid w:val="00D51095"/>
    <w:rsid w:val="00D52242"/>
    <w:rsid w:val="00D5228C"/>
    <w:rsid w:val="00D52E06"/>
    <w:rsid w:val="00D532C4"/>
    <w:rsid w:val="00D533BC"/>
    <w:rsid w:val="00D53650"/>
    <w:rsid w:val="00D54112"/>
    <w:rsid w:val="00D54129"/>
    <w:rsid w:val="00D54A77"/>
    <w:rsid w:val="00D54F86"/>
    <w:rsid w:val="00D553C7"/>
    <w:rsid w:val="00D5648F"/>
    <w:rsid w:val="00D5651D"/>
    <w:rsid w:val="00D567A0"/>
    <w:rsid w:val="00D572D0"/>
    <w:rsid w:val="00D5786C"/>
    <w:rsid w:val="00D579A2"/>
    <w:rsid w:val="00D57B21"/>
    <w:rsid w:val="00D57B9A"/>
    <w:rsid w:val="00D60190"/>
    <w:rsid w:val="00D602D3"/>
    <w:rsid w:val="00D605A5"/>
    <w:rsid w:val="00D605B2"/>
    <w:rsid w:val="00D606A0"/>
    <w:rsid w:val="00D60A2F"/>
    <w:rsid w:val="00D60DAB"/>
    <w:rsid w:val="00D61087"/>
    <w:rsid w:val="00D61A8A"/>
    <w:rsid w:val="00D62369"/>
    <w:rsid w:val="00D623AA"/>
    <w:rsid w:val="00D627EA"/>
    <w:rsid w:val="00D62A24"/>
    <w:rsid w:val="00D62E43"/>
    <w:rsid w:val="00D62FA3"/>
    <w:rsid w:val="00D62FAC"/>
    <w:rsid w:val="00D635B0"/>
    <w:rsid w:val="00D637A9"/>
    <w:rsid w:val="00D63BE1"/>
    <w:rsid w:val="00D63C73"/>
    <w:rsid w:val="00D6403E"/>
    <w:rsid w:val="00D6486B"/>
    <w:rsid w:val="00D65280"/>
    <w:rsid w:val="00D65765"/>
    <w:rsid w:val="00D659F8"/>
    <w:rsid w:val="00D65D96"/>
    <w:rsid w:val="00D65F29"/>
    <w:rsid w:val="00D6616F"/>
    <w:rsid w:val="00D6699B"/>
    <w:rsid w:val="00D6708E"/>
    <w:rsid w:val="00D7009E"/>
    <w:rsid w:val="00D7068C"/>
    <w:rsid w:val="00D7093C"/>
    <w:rsid w:val="00D70C63"/>
    <w:rsid w:val="00D710C5"/>
    <w:rsid w:val="00D71705"/>
    <w:rsid w:val="00D71888"/>
    <w:rsid w:val="00D71B45"/>
    <w:rsid w:val="00D71E7F"/>
    <w:rsid w:val="00D72258"/>
    <w:rsid w:val="00D722C1"/>
    <w:rsid w:val="00D72437"/>
    <w:rsid w:val="00D726A5"/>
    <w:rsid w:val="00D727AC"/>
    <w:rsid w:val="00D72906"/>
    <w:rsid w:val="00D72AC2"/>
    <w:rsid w:val="00D72B87"/>
    <w:rsid w:val="00D72CAE"/>
    <w:rsid w:val="00D73F28"/>
    <w:rsid w:val="00D74605"/>
    <w:rsid w:val="00D74660"/>
    <w:rsid w:val="00D74797"/>
    <w:rsid w:val="00D74968"/>
    <w:rsid w:val="00D749D2"/>
    <w:rsid w:val="00D74D9B"/>
    <w:rsid w:val="00D74F2E"/>
    <w:rsid w:val="00D750A2"/>
    <w:rsid w:val="00D753AC"/>
    <w:rsid w:val="00D75650"/>
    <w:rsid w:val="00D756E6"/>
    <w:rsid w:val="00D756E8"/>
    <w:rsid w:val="00D75B68"/>
    <w:rsid w:val="00D767BF"/>
    <w:rsid w:val="00D76F8C"/>
    <w:rsid w:val="00D779E7"/>
    <w:rsid w:val="00D801EB"/>
    <w:rsid w:val="00D80747"/>
    <w:rsid w:val="00D8099F"/>
    <w:rsid w:val="00D809FF"/>
    <w:rsid w:val="00D80E48"/>
    <w:rsid w:val="00D810F2"/>
    <w:rsid w:val="00D811DC"/>
    <w:rsid w:val="00D81285"/>
    <w:rsid w:val="00D818EC"/>
    <w:rsid w:val="00D81B9A"/>
    <w:rsid w:val="00D81DBB"/>
    <w:rsid w:val="00D81F38"/>
    <w:rsid w:val="00D822C6"/>
    <w:rsid w:val="00D82522"/>
    <w:rsid w:val="00D82890"/>
    <w:rsid w:val="00D82D27"/>
    <w:rsid w:val="00D83CCC"/>
    <w:rsid w:val="00D843D6"/>
    <w:rsid w:val="00D85237"/>
    <w:rsid w:val="00D853C2"/>
    <w:rsid w:val="00D85475"/>
    <w:rsid w:val="00D85566"/>
    <w:rsid w:val="00D85801"/>
    <w:rsid w:val="00D85A2F"/>
    <w:rsid w:val="00D85A69"/>
    <w:rsid w:val="00D85FF7"/>
    <w:rsid w:val="00D862C7"/>
    <w:rsid w:val="00D86605"/>
    <w:rsid w:val="00D87A9E"/>
    <w:rsid w:val="00D87BDC"/>
    <w:rsid w:val="00D87CC9"/>
    <w:rsid w:val="00D9065E"/>
    <w:rsid w:val="00D9096B"/>
    <w:rsid w:val="00D90B19"/>
    <w:rsid w:val="00D90B9F"/>
    <w:rsid w:val="00D90D1C"/>
    <w:rsid w:val="00D90D5C"/>
    <w:rsid w:val="00D90ED4"/>
    <w:rsid w:val="00D90FF0"/>
    <w:rsid w:val="00D91838"/>
    <w:rsid w:val="00D91E5A"/>
    <w:rsid w:val="00D920E8"/>
    <w:rsid w:val="00D92722"/>
    <w:rsid w:val="00D92BF2"/>
    <w:rsid w:val="00D93295"/>
    <w:rsid w:val="00D9335B"/>
    <w:rsid w:val="00D93B16"/>
    <w:rsid w:val="00D93DAF"/>
    <w:rsid w:val="00D941AE"/>
    <w:rsid w:val="00D94A53"/>
    <w:rsid w:val="00D94BA4"/>
    <w:rsid w:val="00D94C90"/>
    <w:rsid w:val="00D94E5E"/>
    <w:rsid w:val="00D94F2C"/>
    <w:rsid w:val="00D950A6"/>
    <w:rsid w:val="00D954BD"/>
    <w:rsid w:val="00D95FB3"/>
    <w:rsid w:val="00D96138"/>
    <w:rsid w:val="00D965AB"/>
    <w:rsid w:val="00D96B07"/>
    <w:rsid w:val="00D96BD2"/>
    <w:rsid w:val="00D96C5E"/>
    <w:rsid w:val="00D96F58"/>
    <w:rsid w:val="00D974EC"/>
    <w:rsid w:val="00D97594"/>
    <w:rsid w:val="00D97956"/>
    <w:rsid w:val="00DA002B"/>
    <w:rsid w:val="00DA0351"/>
    <w:rsid w:val="00DA037D"/>
    <w:rsid w:val="00DA0417"/>
    <w:rsid w:val="00DA059A"/>
    <w:rsid w:val="00DA0676"/>
    <w:rsid w:val="00DA077F"/>
    <w:rsid w:val="00DA08F0"/>
    <w:rsid w:val="00DA0F27"/>
    <w:rsid w:val="00DA156A"/>
    <w:rsid w:val="00DA1DA8"/>
    <w:rsid w:val="00DA22C1"/>
    <w:rsid w:val="00DA24B0"/>
    <w:rsid w:val="00DA2582"/>
    <w:rsid w:val="00DA2694"/>
    <w:rsid w:val="00DA38BB"/>
    <w:rsid w:val="00DA3CF1"/>
    <w:rsid w:val="00DA3E6B"/>
    <w:rsid w:val="00DA4961"/>
    <w:rsid w:val="00DA4B0E"/>
    <w:rsid w:val="00DA50E4"/>
    <w:rsid w:val="00DA5BEB"/>
    <w:rsid w:val="00DA66B1"/>
    <w:rsid w:val="00DA69F8"/>
    <w:rsid w:val="00DA6BFD"/>
    <w:rsid w:val="00DA7261"/>
    <w:rsid w:val="00DA7645"/>
    <w:rsid w:val="00DA7696"/>
    <w:rsid w:val="00DA7E15"/>
    <w:rsid w:val="00DA7EE0"/>
    <w:rsid w:val="00DA7FC8"/>
    <w:rsid w:val="00DB02FF"/>
    <w:rsid w:val="00DB03D9"/>
    <w:rsid w:val="00DB0B92"/>
    <w:rsid w:val="00DB10BD"/>
    <w:rsid w:val="00DB1433"/>
    <w:rsid w:val="00DB1897"/>
    <w:rsid w:val="00DB197C"/>
    <w:rsid w:val="00DB1AAF"/>
    <w:rsid w:val="00DB1F14"/>
    <w:rsid w:val="00DB26B5"/>
    <w:rsid w:val="00DB2E31"/>
    <w:rsid w:val="00DB31ED"/>
    <w:rsid w:val="00DB35F3"/>
    <w:rsid w:val="00DB399E"/>
    <w:rsid w:val="00DB3AA0"/>
    <w:rsid w:val="00DB3C49"/>
    <w:rsid w:val="00DB41B9"/>
    <w:rsid w:val="00DB42C2"/>
    <w:rsid w:val="00DB434B"/>
    <w:rsid w:val="00DB444B"/>
    <w:rsid w:val="00DB4459"/>
    <w:rsid w:val="00DB4628"/>
    <w:rsid w:val="00DB4714"/>
    <w:rsid w:val="00DB4788"/>
    <w:rsid w:val="00DB4D04"/>
    <w:rsid w:val="00DB510A"/>
    <w:rsid w:val="00DB5178"/>
    <w:rsid w:val="00DB5386"/>
    <w:rsid w:val="00DB5638"/>
    <w:rsid w:val="00DB5ABE"/>
    <w:rsid w:val="00DB5E7F"/>
    <w:rsid w:val="00DB6292"/>
    <w:rsid w:val="00DB632B"/>
    <w:rsid w:val="00DB6586"/>
    <w:rsid w:val="00DB67E7"/>
    <w:rsid w:val="00DB68BB"/>
    <w:rsid w:val="00DB6D2C"/>
    <w:rsid w:val="00DB6F55"/>
    <w:rsid w:val="00DB7289"/>
    <w:rsid w:val="00DB7806"/>
    <w:rsid w:val="00DB7F10"/>
    <w:rsid w:val="00DC1524"/>
    <w:rsid w:val="00DC1889"/>
    <w:rsid w:val="00DC1CA3"/>
    <w:rsid w:val="00DC2270"/>
    <w:rsid w:val="00DC2A33"/>
    <w:rsid w:val="00DC2DE8"/>
    <w:rsid w:val="00DC305E"/>
    <w:rsid w:val="00DC3214"/>
    <w:rsid w:val="00DC3537"/>
    <w:rsid w:val="00DC3579"/>
    <w:rsid w:val="00DC3A57"/>
    <w:rsid w:val="00DC3E0F"/>
    <w:rsid w:val="00DC41D8"/>
    <w:rsid w:val="00DC42FB"/>
    <w:rsid w:val="00DC43AE"/>
    <w:rsid w:val="00DC466F"/>
    <w:rsid w:val="00DC4841"/>
    <w:rsid w:val="00DC51EE"/>
    <w:rsid w:val="00DC5533"/>
    <w:rsid w:val="00DC5770"/>
    <w:rsid w:val="00DC59D7"/>
    <w:rsid w:val="00DC5BC0"/>
    <w:rsid w:val="00DC6198"/>
    <w:rsid w:val="00DC6D48"/>
    <w:rsid w:val="00DC6E13"/>
    <w:rsid w:val="00DC6E1B"/>
    <w:rsid w:val="00DC71FE"/>
    <w:rsid w:val="00DC75BB"/>
    <w:rsid w:val="00DC7EBE"/>
    <w:rsid w:val="00DD0DA2"/>
    <w:rsid w:val="00DD0F3F"/>
    <w:rsid w:val="00DD12EF"/>
    <w:rsid w:val="00DD1418"/>
    <w:rsid w:val="00DD157D"/>
    <w:rsid w:val="00DD158F"/>
    <w:rsid w:val="00DD16FB"/>
    <w:rsid w:val="00DD1B57"/>
    <w:rsid w:val="00DD1E9E"/>
    <w:rsid w:val="00DD206A"/>
    <w:rsid w:val="00DD232B"/>
    <w:rsid w:val="00DD235A"/>
    <w:rsid w:val="00DD2381"/>
    <w:rsid w:val="00DD2B1D"/>
    <w:rsid w:val="00DD2DB8"/>
    <w:rsid w:val="00DD3821"/>
    <w:rsid w:val="00DD391B"/>
    <w:rsid w:val="00DD43A8"/>
    <w:rsid w:val="00DD45D3"/>
    <w:rsid w:val="00DD487B"/>
    <w:rsid w:val="00DD48F3"/>
    <w:rsid w:val="00DD4E0C"/>
    <w:rsid w:val="00DD5A2A"/>
    <w:rsid w:val="00DD662B"/>
    <w:rsid w:val="00DD6C92"/>
    <w:rsid w:val="00DD6F89"/>
    <w:rsid w:val="00DD6F96"/>
    <w:rsid w:val="00DD7BD4"/>
    <w:rsid w:val="00DE00CE"/>
    <w:rsid w:val="00DE01AB"/>
    <w:rsid w:val="00DE0B85"/>
    <w:rsid w:val="00DE119F"/>
    <w:rsid w:val="00DE12BD"/>
    <w:rsid w:val="00DE1532"/>
    <w:rsid w:val="00DE179B"/>
    <w:rsid w:val="00DE2151"/>
    <w:rsid w:val="00DE2323"/>
    <w:rsid w:val="00DE292D"/>
    <w:rsid w:val="00DE2AA3"/>
    <w:rsid w:val="00DE30BE"/>
    <w:rsid w:val="00DE30D1"/>
    <w:rsid w:val="00DE3B74"/>
    <w:rsid w:val="00DE40F7"/>
    <w:rsid w:val="00DE44B1"/>
    <w:rsid w:val="00DE47DF"/>
    <w:rsid w:val="00DE4D21"/>
    <w:rsid w:val="00DE5EA6"/>
    <w:rsid w:val="00DE5F41"/>
    <w:rsid w:val="00DE61FB"/>
    <w:rsid w:val="00DE6B6A"/>
    <w:rsid w:val="00DE6EFC"/>
    <w:rsid w:val="00DE730F"/>
    <w:rsid w:val="00DE731D"/>
    <w:rsid w:val="00DE73FD"/>
    <w:rsid w:val="00DE7A1D"/>
    <w:rsid w:val="00DE7CAB"/>
    <w:rsid w:val="00DF0A8D"/>
    <w:rsid w:val="00DF0CBA"/>
    <w:rsid w:val="00DF0E97"/>
    <w:rsid w:val="00DF0E9F"/>
    <w:rsid w:val="00DF11F0"/>
    <w:rsid w:val="00DF1956"/>
    <w:rsid w:val="00DF19A5"/>
    <w:rsid w:val="00DF19ED"/>
    <w:rsid w:val="00DF1AD2"/>
    <w:rsid w:val="00DF1D62"/>
    <w:rsid w:val="00DF2170"/>
    <w:rsid w:val="00DF2619"/>
    <w:rsid w:val="00DF2912"/>
    <w:rsid w:val="00DF2A8C"/>
    <w:rsid w:val="00DF2D89"/>
    <w:rsid w:val="00DF2FC2"/>
    <w:rsid w:val="00DF3D62"/>
    <w:rsid w:val="00DF432F"/>
    <w:rsid w:val="00DF50DE"/>
    <w:rsid w:val="00DF572E"/>
    <w:rsid w:val="00DF596A"/>
    <w:rsid w:val="00DF5F36"/>
    <w:rsid w:val="00DF6DA6"/>
    <w:rsid w:val="00DF708D"/>
    <w:rsid w:val="00DF751C"/>
    <w:rsid w:val="00DF7A7A"/>
    <w:rsid w:val="00DF7EB3"/>
    <w:rsid w:val="00DF7EB8"/>
    <w:rsid w:val="00E0029F"/>
    <w:rsid w:val="00E0031E"/>
    <w:rsid w:val="00E006E6"/>
    <w:rsid w:val="00E00793"/>
    <w:rsid w:val="00E00FD5"/>
    <w:rsid w:val="00E01284"/>
    <w:rsid w:val="00E014E0"/>
    <w:rsid w:val="00E01956"/>
    <w:rsid w:val="00E01ED2"/>
    <w:rsid w:val="00E02047"/>
    <w:rsid w:val="00E023E5"/>
    <w:rsid w:val="00E02837"/>
    <w:rsid w:val="00E033BD"/>
    <w:rsid w:val="00E04158"/>
    <w:rsid w:val="00E0443C"/>
    <w:rsid w:val="00E0482D"/>
    <w:rsid w:val="00E04B4F"/>
    <w:rsid w:val="00E0555F"/>
    <w:rsid w:val="00E05929"/>
    <w:rsid w:val="00E05EAA"/>
    <w:rsid w:val="00E06A69"/>
    <w:rsid w:val="00E06BCE"/>
    <w:rsid w:val="00E06F24"/>
    <w:rsid w:val="00E06FD6"/>
    <w:rsid w:val="00E074C1"/>
    <w:rsid w:val="00E07B79"/>
    <w:rsid w:val="00E07CDC"/>
    <w:rsid w:val="00E1006A"/>
    <w:rsid w:val="00E105B9"/>
    <w:rsid w:val="00E1079E"/>
    <w:rsid w:val="00E10F6A"/>
    <w:rsid w:val="00E112FA"/>
    <w:rsid w:val="00E12CED"/>
    <w:rsid w:val="00E13530"/>
    <w:rsid w:val="00E13762"/>
    <w:rsid w:val="00E137D4"/>
    <w:rsid w:val="00E13D2C"/>
    <w:rsid w:val="00E13EE3"/>
    <w:rsid w:val="00E148CD"/>
    <w:rsid w:val="00E14E22"/>
    <w:rsid w:val="00E14FF5"/>
    <w:rsid w:val="00E15260"/>
    <w:rsid w:val="00E15513"/>
    <w:rsid w:val="00E15713"/>
    <w:rsid w:val="00E15A59"/>
    <w:rsid w:val="00E16682"/>
    <w:rsid w:val="00E1678A"/>
    <w:rsid w:val="00E16BCC"/>
    <w:rsid w:val="00E16F33"/>
    <w:rsid w:val="00E1723A"/>
    <w:rsid w:val="00E17542"/>
    <w:rsid w:val="00E17549"/>
    <w:rsid w:val="00E17ACF"/>
    <w:rsid w:val="00E17BAE"/>
    <w:rsid w:val="00E17E85"/>
    <w:rsid w:val="00E17E99"/>
    <w:rsid w:val="00E2002A"/>
    <w:rsid w:val="00E2055A"/>
    <w:rsid w:val="00E208FE"/>
    <w:rsid w:val="00E20D6C"/>
    <w:rsid w:val="00E20D7C"/>
    <w:rsid w:val="00E213C0"/>
    <w:rsid w:val="00E21F2D"/>
    <w:rsid w:val="00E22A26"/>
    <w:rsid w:val="00E22DD9"/>
    <w:rsid w:val="00E22EAA"/>
    <w:rsid w:val="00E2307E"/>
    <w:rsid w:val="00E2336E"/>
    <w:rsid w:val="00E23655"/>
    <w:rsid w:val="00E23AB9"/>
    <w:rsid w:val="00E23AC4"/>
    <w:rsid w:val="00E23D59"/>
    <w:rsid w:val="00E23ED2"/>
    <w:rsid w:val="00E23EEF"/>
    <w:rsid w:val="00E2427B"/>
    <w:rsid w:val="00E2456D"/>
    <w:rsid w:val="00E247D5"/>
    <w:rsid w:val="00E256F7"/>
    <w:rsid w:val="00E25995"/>
    <w:rsid w:val="00E25AB1"/>
    <w:rsid w:val="00E25D57"/>
    <w:rsid w:val="00E26257"/>
    <w:rsid w:val="00E264AD"/>
    <w:rsid w:val="00E26A60"/>
    <w:rsid w:val="00E26D47"/>
    <w:rsid w:val="00E26FFC"/>
    <w:rsid w:val="00E27074"/>
    <w:rsid w:val="00E2777E"/>
    <w:rsid w:val="00E27E1C"/>
    <w:rsid w:val="00E300F2"/>
    <w:rsid w:val="00E30B66"/>
    <w:rsid w:val="00E30BF9"/>
    <w:rsid w:val="00E31966"/>
    <w:rsid w:val="00E3203D"/>
    <w:rsid w:val="00E32AE4"/>
    <w:rsid w:val="00E32D6A"/>
    <w:rsid w:val="00E32FD0"/>
    <w:rsid w:val="00E33396"/>
    <w:rsid w:val="00E335C5"/>
    <w:rsid w:val="00E33D24"/>
    <w:rsid w:val="00E33D9F"/>
    <w:rsid w:val="00E33E8E"/>
    <w:rsid w:val="00E34706"/>
    <w:rsid w:val="00E349B8"/>
    <w:rsid w:val="00E34ED4"/>
    <w:rsid w:val="00E35580"/>
    <w:rsid w:val="00E3626F"/>
    <w:rsid w:val="00E36DD5"/>
    <w:rsid w:val="00E36E11"/>
    <w:rsid w:val="00E3751A"/>
    <w:rsid w:val="00E377A6"/>
    <w:rsid w:val="00E37BF6"/>
    <w:rsid w:val="00E4005E"/>
    <w:rsid w:val="00E40256"/>
    <w:rsid w:val="00E408EA"/>
    <w:rsid w:val="00E40A1E"/>
    <w:rsid w:val="00E41A5B"/>
    <w:rsid w:val="00E41CF2"/>
    <w:rsid w:val="00E41D23"/>
    <w:rsid w:val="00E4297F"/>
    <w:rsid w:val="00E43041"/>
    <w:rsid w:val="00E438F7"/>
    <w:rsid w:val="00E43AA0"/>
    <w:rsid w:val="00E43BD0"/>
    <w:rsid w:val="00E43E29"/>
    <w:rsid w:val="00E43EE5"/>
    <w:rsid w:val="00E4454B"/>
    <w:rsid w:val="00E4466B"/>
    <w:rsid w:val="00E44ACD"/>
    <w:rsid w:val="00E44CB9"/>
    <w:rsid w:val="00E44DEB"/>
    <w:rsid w:val="00E45343"/>
    <w:rsid w:val="00E453C9"/>
    <w:rsid w:val="00E45B97"/>
    <w:rsid w:val="00E46274"/>
    <w:rsid w:val="00E46852"/>
    <w:rsid w:val="00E46A1D"/>
    <w:rsid w:val="00E46AB1"/>
    <w:rsid w:val="00E47134"/>
    <w:rsid w:val="00E479FF"/>
    <w:rsid w:val="00E47E39"/>
    <w:rsid w:val="00E511DA"/>
    <w:rsid w:val="00E51392"/>
    <w:rsid w:val="00E513F1"/>
    <w:rsid w:val="00E515B1"/>
    <w:rsid w:val="00E51662"/>
    <w:rsid w:val="00E5269A"/>
    <w:rsid w:val="00E535D1"/>
    <w:rsid w:val="00E536FC"/>
    <w:rsid w:val="00E53AA6"/>
    <w:rsid w:val="00E53C6C"/>
    <w:rsid w:val="00E53CB2"/>
    <w:rsid w:val="00E53D6A"/>
    <w:rsid w:val="00E53EE8"/>
    <w:rsid w:val="00E545D3"/>
    <w:rsid w:val="00E547E9"/>
    <w:rsid w:val="00E54898"/>
    <w:rsid w:val="00E548F2"/>
    <w:rsid w:val="00E55558"/>
    <w:rsid w:val="00E55BB8"/>
    <w:rsid w:val="00E56344"/>
    <w:rsid w:val="00E57E87"/>
    <w:rsid w:val="00E57EAF"/>
    <w:rsid w:val="00E600D9"/>
    <w:rsid w:val="00E60DE1"/>
    <w:rsid w:val="00E61076"/>
    <w:rsid w:val="00E61812"/>
    <w:rsid w:val="00E618D1"/>
    <w:rsid w:val="00E61A15"/>
    <w:rsid w:val="00E61C1E"/>
    <w:rsid w:val="00E62CF0"/>
    <w:rsid w:val="00E62E5D"/>
    <w:rsid w:val="00E63096"/>
    <w:rsid w:val="00E6446D"/>
    <w:rsid w:val="00E64B76"/>
    <w:rsid w:val="00E65073"/>
    <w:rsid w:val="00E65AAC"/>
    <w:rsid w:val="00E65E8C"/>
    <w:rsid w:val="00E65F87"/>
    <w:rsid w:val="00E66098"/>
    <w:rsid w:val="00E66800"/>
    <w:rsid w:val="00E66A2B"/>
    <w:rsid w:val="00E66D78"/>
    <w:rsid w:val="00E66DCD"/>
    <w:rsid w:val="00E673C1"/>
    <w:rsid w:val="00E67C5C"/>
    <w:rsid w:val="00E67E55"/>
    <w:rsid w:val="00E70504"/>
    <w:rsid w:val="00E71198"/>
    <w:rsid w:val="00E71D91"/>
    <w:rsid w:val="00E71E4F"/>
    <w:rsid w:val="00E72486"/>
    <w:rsid w:val="00E724EF"/>
    <w:rsid w:val="00E7250A"/>
    <w:rsid w:val="00E7264E"/>
    <w:rsid w:val="00E72651"/>
    <w:rsid w:val="00E73350"/>
    <w:rsid w:val="00E7364E"/>
    <w:rsid w:val="00E73957"/>
    <w:rsid w:val="00E73C90"/>
    <w:rsid w:val="00E73D3A"/>
    <w:rsid w:val="00E7412C"/>
    <w:rsid w:val="00E743A1"/>
    <w:rsid w:val="00E74513"/>
    <w:rsid w:val="00E74688"/>
    <w:rsid w:val="00E7491F"/>
    <w:rsid w:val="00E74BC5"/>
    <w:rsid w:val="00E74F05"/>
    <w:rsid w:val="00E7518B"/>
    <w:rsid w:val="00E755A5"/>
    <w:rsid w:val="00E757B9"/>
    <w:rsid w:val="00E7593F"/>
    <w:rsid w:val="00E76497"/>
    <w:rsid w:val="00E76C33"/>
    <w:rsid w:val="00E8011B"/>
    <w:rsid w:val="00E801FE"/>
    <w:rsid w:val="00E80673"/>
    <w:rsid w:val="00E80768"/>
    <w:rsid w:val="00E80C67"/>
    <w:rsid w:val="00E80E1E"/>
    <w:rsid w:val="00E81225"/>
    <w:rsid w:val="00E81C6E"/>
    <w:rsid w:val="00E82135"/>
    <w:rsid w:val="00E82862"/>
    <w:rsid w:val="00E82A67"/>
    <w:rsid w:val="00E82CA0"/>
    <w:rsid w:val="00E82E17"/>
    <w:rsid w:val="00E82E8A"/>
    <w:rsid w:val="00E84324"/>
    <w:rsid w:val="00E84787"/>
    <w:rsid w:val="00E84AD4"/>
    <w:rsid w:val="00E84D20"/>
    <w:rsid w:val="00E84D30"/>
    <w:rsid w:val="00E84FEB"/>
    <w:rsid w:val="00E8534F"/>
    <w:rsid w:val="00E854EA"/>
    <w:rsid w:val="00E85EC9"/>
    <w:rsid w:val="00E860EE"/>
    <w:rsid w:val="00E86456"/>
    <w:rsid w:val="00E86BAE"/>
    <w:rsid w:val="00E876A3"/>
    <w:rsid w:val="00E8787B"/>
    <w:rsid w:val="00E87894"/>
    <w:rsid w:val="00E87DC5"/>
    <w:rsid w:val="00E903A5"/>
    <w:rsid w:val="00E90400"/>
    <w:rsid w:val="00E90A19"/>
    <w:rsid w:val="00E912AA"/>
    <w:rsid w:val="00E91460"/>
    <w:rsid w:val="00E915F1"/>
    <w:rsid w:val="00E9182A"/>
    <w:rsid w:val="00E91C42"/>
    <w:rsid w:val="00E920D5"/>
    <w:rsid w:val="00E92341"/>
    <w:rsid w:val="00E92BD2"/>
    <w:rsid w:val="00E93635"/>
    <w:rsid w:val="00E93E2E"/>
    <w:rsid w:val="00E94225"/>
    <w:rsid w:val="00E943A6"/>
    <w:rsid w:val="00E9456F"/>
    <w:rsid w:val="00E94F06"/>
    <w:rsid w:val="00E95243"/>
    <w:rsid w:val="00E956CB"/>
    <w:rsid w:val="00E958AD"/>
    <w:rsid w:val="00E95DC1"/>
    <w:rsid w:val="00E95EFD"/>
    <w:rsid w:val="00E960B8"/>
    <w:rsid w:val="00E96745"/>
    <w:rsid w:val="00E96AEE"/>
    <w:rsid w:val="00E96D1C"/>
    <w:rsid w:val="00E97375"/>
    <w:rsid w:val="00E977CB"/>
    <w:rsid w:val="00E977CE"/>
    <w:rsid w:val="00E97836"/>
    <w:rsid w:val="00E97990"/>
    <w:rsid w:val="00E97D2F"/>
    <w:rsid w:val="00E97EA7"/>
    <w:rsid w:val="00E97FB1"/>
    <w:rsid w:val="00EA0ADD"/>
    <w:rsid w:val="00EA0E67"/>
    <w:rsid w:val="00EA0F07"/>
    <w:rsid w:val="00EA1514"/>
    <w:rsid w:val="00EA16E1"/>
    <w:rsid w:val="00EA170C"/>
    <w:rsid w:val="00EA174F"/>
    <w:rsid w:val="00EA1767"/>
    <w:rsid w:val="00EA1F8E"/>
    <w:rsid w:val="00EA209C"/>
    <w:rsid w:val="00EA21F6"/>
    <w:rsid w:val="00EA2360"/>
    <w:rsid w:val="00EA272B"/>
    <w:rsid w:val="00EA2772"/>
    <w:rsid w:val="00EA27C6"/>
    <w:rsid w:val="00EA2F5D"/>
    <w:rsid w:val="00EA301E"/>
    <w:rsid w:val="00EA34AC"/>
    <w:rsid w:val="00EA3BA1"/>
    <w:rsid w:val="00EA3D5F"/>
    <w:rsid w:val="00EA3E85"/>
    <w:rsid w:val="00EA41B9"/>
    <w:rsid w:val="00EA449C"/>
    <w:rsid w:val="00EA4F1E"/>
    <w:rsid w:val="00EA4F7D"/>
    <w:rsid w:val="00EA538D"/>
    <w:rsid w:val="00EA57EE"/>
    <w:rsid w:val="00EA5F9C"/>
    <w:rsid w:val="00EA633B"/>
    <w:rsid w:val="00EA659C"/>
    <w:rsid w:val="00EA6CA0"/>
    <w:rsid w:val="00EA7206"/>
    <w:rsid w:val="00EA78E0"/>
    <w:rsid w:val="00EB08A1"/>
    <w:rsid w:val="00EB0A68"/>
    <w:rsid w:val="00EB0E44"/>
    <w:rsid w:val="00EB0E6A"/>
    <w:rsid w:val="00EB0FE6"/>
    <w:rsid w:val="00EB1456"/>
    <w:rsid w:val="00EB16EB"/>
    <w:rsid w:val="00EB182C"/>
    <w:rsid w:val="00EB19D9"/>
    <w:rsid w:val="00EB1A00"/>
    <w:rsid w:val="00EB1FE4"/>
    <w:rsid w:val="00EB2287"/>
    <w:rsid w:val="00EB269D"/>
    <w:rsid w:val="00EB2E2E"/>
    <w:rsid w:val="00EB30E8"/>
    <w:rsid w:val="00EB344E"/>
    <w:rsid w:val="00EB397E"/>
    <w:rsid w:val="00EB400A"/>
    <w:rsid w:val="00EB42B4"/>
    <w:rsid w:val="00EB45D7"/>
    <w:rsid w:val="00EB47B3"/>
    <w:rsid w:val="00EB4926"/>
    <w:rsid w:val="00EB4B58"/>
    <w:rsid w:val="00EB4C99"/>
    <w:rsid w:val="00EB4E5F"/>
    <w:rsid w:val="00EB5197"/>
    <w:rsid w:val="00EB51AD"/>
    <w:rsid w:val="00EB5629"/>
    <w:rsid w:val="00EB5734"/>
    <w:rsid w:val="00EB58B5"/>
    <w:rsid w:val="00EB61A4"/>
    <w:rsid w:val="00EB66A5"/>
    <w:rsid w:val="00EB7133"/>
    <w:rsid w:val="00EB75E2"/>
    <w:rsid w:val="00EB75EB"/>
    <w:rsid w:val="00EB7605"/>
    <w:rsid w:val="00EB76CB"/>
    <w:rsid w:val="00EB7D10"/>
    <w:rsid w:val="00EC01EA"/>
    <w:rsid w:val="00EC0655"/>
    <w:rsid w:val="00EC089D"/>
    <w:rsid w:val="00EC0DD3"/>
    <w:rsid w:val="00EC101A"/>
    <w:rsid w:val="00EC1394"/>
    <w:rsid w:val="00EC1E5C"/>
    <w:rsid w:val="00EC20D7"/>
    <w:rsid w:val="00EC226A"/>
    <w:rsid w:val="00EC229B"/>
    <w:rsid w:val="00EC25B6"/>
    <w:rsid w:val="00EC28DD"/>
    <w:rsid w:val="00EC2B80"/>
    <w:rsid w:val="00EC2EE6"/>
    <w:rsid w:val="00EC2F7B"/>
    <w:rsid w:val="00EC3012"/>
    <w:rsid w:val="00EC3713"/>
    <w:rsid w:val="00EC3780"/>
    <w:rsid w:val="00EC37A0"/>
    <w:rsid w:val="00EC3FA5"/>
    <w:rsid w:val="00EC44B6"/>
    <w:rsid w:val="00EC552D"/>
    <w:rsid w:val="00EC5B93"/>
    <w:rsid w:val="00EC64A1"/>
    <w:rsid w:val="00EC6506"/>
    <w:rsid w:val="00EC69DD"/>
    <w:rsid w:val="00EC6FCF"/>
    <w:rsid w:val="00EC774B"/>
    <w:rsid w:val="00ED013B"/>
    <w:rsid w:val="00ED0E0A"/>
    <w:rsid w:val="00ED1009"/>
    <w:rsid w:val="00ED13EB"/>
    <w:rsid w:val="00ED1462"/>
    <w:rsid w:val="00ED14A1"/>
    <w:rsid w:val="00ED14D7"/>
    <w:rsid w:val="00ED17FA"/>
    <w:rsid w:val="00ED1856"/>
    <w:rsid w:val="00ED231F"/>
    <w:rsid w:val="00ED24B6"/>
    <w:rsid w:val="00ED25D2"/>
    <w:rsid w:val="00ED281D"/>
    <w:rsid w:val="00ED3267"/>
    <w:rsid w:val="00ED35A5"/>
    <w:rsid w:val="00ED35C0"/>
    <w:rsid w:val="00ED3F0E"/>
    <w:rsid w:val="00ED3F38"/>
    <w:rsid w:val="00ED4124"/>
    <w:rsid w:val="00ED4269"/>
    <w:rsid w:val="00ED462A"/>
    <w:rsid w:val="00ED49DF"/>
    <w:rsid w:val="00ED5030"/>
    <w:rsid w:val="00ED5424"/>
    <w:rsid w:val="00ED547D"/>
    <w:rsid w:val="00ED596C"/>
    <w:rsid w:val="00ED5ACF"/>
    <w:rsid w:val="00ED612B"/>
    <w:rsid w:val="00ED642C"/>
    <w:rsid w:val="00ED7ADE"/>
    <w:rsid w:val="00EE0174"/>
    <w:rsid w:val="00EE01D1"/>
    <w:rsid w:val="00EE083C"/>
    <w:rsid w:val="00EE0D6A"/>
    <w:rsid w:val="00EE12E9"/>
    <w:rsid w:val="00EE13A7"/>
    <w:rsid w:val="00EE2B55"/>
    <w:rsid w:val="00EE2D57"/>
    <w:rsid w:val="00EE3341"/>
    <w:rsid w:val="00EE3404"/>
    <w:rsid w:val="00EE3445"/>
    <w:rsid w:val="00EE4436"/>
    <w:rsid w:val="00EE4A8D"/>
    <w:rsid w:val="00EE4BBE"/>
    <w:rsid w:val="00EE546C"/>
    <w:rsid w:val="00EE563D"/>
    <w:rsid w:val="00EE58CA"/>
    <w:rsid w:val="00EE5CF8"/>
    <w:rsid w:val="00EE5D84"/>
    <w:rsid w:val="00EE5DFC"/>
    <w:rsid w:val="00EE60E7"/>
    <w:rsid w:val="00EE60F1"/>
    <w:rsid w:val="00EE6940"/>
    <w:rsid w:val="00EE6A20"/>
    <w:rsid w:val="00EE7503"/>
    <w:rsid w:val="00EE7636"/>
    <w:rsid w:val="00EE7F14"/>
    <w:rsid w:val="00EF00A8"/>
    <w:rsid w:val="00EF02E6"/>
    <w:rsid w:val="00EF045D"/>
    <w:rsid w:val="00EF0718"/>
    <w:rsid w:val="00EF0908"/>
    <w:rsid w:val="00EF0983"/>
    <w:rsid w:val="00EF0C8C"/>
    <w:rsid w:val="00EF0E21"/>
    <w:rsid w:val="00EF0FE9"/>
    <w:rsid w:val="00EF138D"/>
    <w:rsid w:val="00EF1821"/>
    <w:rsid w:val="00EF1ABA"/>
    <w:rsid w:val="00EF1D2F"/>
    <w:rsid w:val="00EF1ED9"/>
    <w:rsid w:val="00EF20C3"/>
    <w:rsid w:val="00EF231B"/>
    <w:rsid w:val="00EF2449"/>
    <w:rsid w:val="00EF2467"/>
    <w:rsid w:val="00EF256C"/>
    <w:rsid w:val="00EF3393"/>
    <w:rsid w:val="00EF3C53"/>
    <w:rsid w:val="00EF3C6A"/>
    <w:rsid w:val="00EF3F1A"/>
    <w:rsid w:val="00EF463E"/>
    <w:rsid w:val="00EF541D"/>
    <w:rsid w:val="00EF571F"/>
    <w:rsid w:val="00EF579C"/>
    <w:rsid w:val="00EF57BB"/>
    <w:rsid w:val="00EF585C"/>
    <w:rsid w:val="00EF5B95"/>
    <w:rsid w:val="00EF60B7"/>
    <w:rsid w:val="00EF613D"/>
    <w:rsid w:val="00EF7569"/>
    <w:rsid w:val="00EF77B3"/>
    <w:rsid w:val="00EF7A7D"/>
    <w:rsid w:val="00F003AA"/>
    <w:rsid w:val="00F0077B"/>
    <w:rsid w:val="00F00922"/>
    <w:rsid w:val="00F00A21"/>
    <w:rsid w:val="00F00A42"/>
    <w:rsid w:val="00F00B40"/>
    <w:rsid w:val="00F0102C"/>
    <w:rsid w:val="00F0106B"/>
    <w:rsid w:val="00F0134D"/>
    <w:rsid w:val="00F0137B"/>
    <w:rsid w:val="00F0139C"/>
    <w:rsid w:val="00F020E1"/>
    <w:rsid w:val="00F02164"/>
    <w:rsid w:val="00F0221D"/>
    <w:rsid w:val="00F025AE"/>
    <w:rsid w:val="00F02DE5"/>
    <w:rsid w:val="00F03012"/>
    <w:rsid w:val="00F0324F"/>
    <w:rsid w:val="00F03AA2"/>
    <w:rsid w:val="00F03D4D"/>
    <w:rsid w:val="00F041DC"/>
    <w:rsid w:val="00F043F9"/>
    <w:rsid w:val="00F04CF2"/>
    <w:rsid w:val="00F04E02"/>
    <w:rsid w:val="00F0526C"/>
    <w:rsid w:val="00F05558"/>
    <w:rsid w:val="00F05948"/>
    <w:rsid w:val="00F0595E"/>
    <w:rsid w:val="00F05A7B"/>
    <w:rsid w:val="00F06293"/>
    <w:rsid w:val="00F06454"/>
    <w:rsid w:val="00F06A72"/>
    <w:rsid w:val="00F06AA4"/>
    <w:rsid w:val="00F06CB2"/>
    <w:rsid w:val="00F06CE3"/>
    <w:rsid w:val="00F06E72"/>
    <w:rsid w:val="00F07C8A"/>
    <w:rsid w:val="00F07D8B"/>
    <w:rsid w:val="00F07FA5"/>
    <w:rsid w:val="00F104D0"/>
    <w:rsid w:val="00F10840"/>
    <w:rsid w:val="00F10F23"/>
    <w:rsid w:val="00F116E1"/>
    <w:rsid w:val="00F11E4F"/>
    <w:rsid w:val="00F11F00"/>
    <w:rsid w:val="00F126F2"/>
    <w:rsid w:val="00F1272B"/>
    <w:rsid w:val="00F13033"/>
    <w:rsid w:val="00F13232"/>
    <w:rsid w:val="00F132E7"/>
    <w:rsid w:val="00F13A85"/>
    <w:rsid w:val="00F13C6A"/>
    <w:rsid w:val="00F13C93"/>
    <w:rsid w:val="00F14182"/>
    <w:rsid w:val="00F14212"/>
    <w:rsid w:val="00F1446C"/>
    <w:rsid w:val="00F14895"/>
    <w:rsid w:val="00F14A1F"/>
    <w:rsid w:val="00F14BE6"/>
    <w:rsid w:val="00F14C11"/>
    <w:rsid w:val="00F14D95"/>
    <w:rsid w:val="00F15A01"/>
    <w:rsid w:val="00F15D2C"/>
    <w:rsid w:val="00F161D9"/>
    <w:rsid w:val="00F16582"/>
    <w:rsid w:val="00F169AE"/>
    <w:rsid w:val="00F169B8"/>
    <w:rsid w:val="00F16B9D"/>
    <w:rsid w:val="00F16CE1"/>
    <w:rsid w:val="00F17125"/>
    <w:rsid w:val="00F171DD"/>
    <w:rsid w:val="00F1727E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1FFD"/>
    <w:rsid w:val="00F223BD"/>
    <w:rsid w:val="00F223EA"/>
    <w:rsid w:val="00F22EE2"/>
    <w:rsid w:val="00F232DA"/>
    <w:rsid w:val="00F23BAD"/>
    <w:rsid w:val="00F2432F"/>
    <w:rsid w:val="00F24481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6E4F"/>
    <w:rsid w:val="00F274E6"/>
    <w:rsid w:val="00F27A25"/>
    <w:rsid w:val="00F27BC4"/>
    <w:rsid w:val="00F27C95"/>
    <w:rsid w:val="00F3031B"/>
    <w:rsid w:val="00F30616"/>
    <w:rsid w:val="00F30910"/>
    <w:rsid w:val="00F31092"/>
    <w:rsid w:val="00F31673"/>
    <w:rsid w:val="00F3172C"/>
    <w:rsid w:val="00F319F9"/>
    <w:rsid w:val="00F31D7F"/>
    <w:rsid w:val="00F32AF9"/>
    <w:rsid w:val="00F32C09"/>
    <w:rsid w:val="00F33B96"/>
    <w:rsid w:val="00F33BF2"/>
    <w:rsid w:val="00F33C71"/>
    <w:rsid w:val="00F346B1"/>
    <w:rsid w:val="00F3484E"/>
    <w:rsid w:val="00F34E84"/>
    <w:rsid w:val="00F34FB3"/>
    <w:rsid w:val="00F35B44"/>
    <w:rsid w:val="00F36323"/>
    <w:rsid w:val="00F368D8"/>
    <w:rsid w:val="00F36EA7"/>
    <w:rsid w:val="00F36F16"/>
    <w:rsid w:val="00F37507"/>
    <w:rsid w:val="00F40042"/>
    <w:rsid w:val="00F402F3"/>
    <w:rsid w:val="00F41179"/>
    <w:rsid w:val="00F415F2"/>
    <w:rsid w:val="00F42001"/>
    <w:rsid w:val="00F42037"/>
    <w:rsid w:val="00F423F6"/>
    <w:rsid w:val="00F42415"/>
    <w:rsid w:val="00F424D3"/>
    <w:rsid w:val="00F4284C"/>
    <w:rsid w:val="00F432E2"/>
    <w:rsid w:val="00F43E81"/>
    <w:rsid w:val="00F443B0"/>
    <w:rsid w:val="00F444E7"/>
    <w:rsid w:val="00F447EA"/>
    <w:rsid w:val="00F44943"/>
    <w:rsid w:val="00F45159"/>
    <w:rsid w:val="00F453DF"/>
    <w:rsid w:val="00F4661B"/>
    <w:rsid w:val="00F46EEA"/>
    <w:rsid w:val="00F46F65"/>
    <w:rsid w:val="00F4737E"/>
    <w:rsid w:val="00F4784B"/>
    <w:rsid w:val="00F47D5F"/>
    <w:rsid w:val="00F47E5F"/>
    <w:rsid w:val="00F505C6"/>
    <w:rsid w:val="00F50623"/>
    <w:rsid w:val="00F511EE"/>
    <w:rsid w:val="00F51D28"/>
    <w:rsid w:val="00F51E4D"/>
    <w:rsid w:val="00F533F9"/>
    <w:rsid w:val="00F539AC"/>
    <w:rsid w:val="00F53D94"/>
    <w:rsid w:val="00F53E56"/>
    <w:rsid w:val="00F54014"/>
    <w:rsid w:val="00F5420D"/>
    <w:rsid w:val="00F54768"/>
    <w:rsid w:val="00F54ADC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761"/>
    <w:rsid w:val="00F60D88"/>
    <w:rsid w:val="00F60DC0"/>
    <w:rsid w:val="00F61248"/>
    <w:rsid w:val="00F61281"/>
    <w:rsid w:val="00F613C3"/>
    <w:rsid w:val="00F617B5"/>
    <w:rsid w:val="00F61D87"/>
    <w:rsid w:val="00F62635"/>
    <w:rsid w:val="00F626F5"/>
    <w:rsid w:val="00F62870"/>
    <w:rsid w:val="00F629DE"/>
    <w:rsid w:val="00F638B4"/>
    <w:rsid w:val="00F6394E"/>
    <w:rsid w:val="00F643C2"/>
    <w:rsid w:val="00F64A0B"/>
    <w:rsid w:val="00F64CAE"/>
    <w:rsid w:val="00F6557B"/>
    <w:rsid w:val="00F658DA"/>
    <w:rsid w:val="00F65A0A"/>
    <w:rsid w:val="00F66009"/>
    <w:rsid w:val="00F666B5"/>
    <w:rsid w:val="00F66F76"/>
    <w:rsid w:val="00F67275"/>
    <w:rsid w:val="00F67EF9"/>
    <w:rsid w:val="00F70011"/>
    <w:rsid w:val="00F704DC"/>
    <w:rsid w:val="00F713E2"/>
    <w:rsid w:val="00F7187B"/>
    <w:rsid w:val="00F718A4"/>
    <w:rsid w:val="00F723D7"/>
    <w:rsid w:val="00F72630"/>
    <w:rsid w:val="00F72698"/>
    <w:rsid w:val="00F728AA"/>
    <w:rsid w:val="00F72AD3"/>
    <w:rsid w:val="00F72C8A"/>
    <w:rsid w:val="00F72CA8"/>
    <w:rsid w:val="00F72D90"/>
    <w:rsid w:val="00F74073"/>
    <w:rsid w:val="00F741FA"/>
    <w:rsid w:val="00F7430B"/>
    <w:rsid w:val="00F74429"/>
    <w:rsid w:val="00F7455D"/>
    <w:rsid w:val="00F745D9"/>
    <w:rsid w:val="00F75050"/>
    <w:rsid w:val="00F7523E"/>
    <w:rsid w:val="00F759D7"/>
    <w:rsid w:val="00F7609A"/>
    <w:rsid w:val="00F76152"/>
    <w:rsid w:val="00F761AD"/>
    <w:rsid w:val="00F76924"/>
    <w:rsid w:val="00F76C8F"/>
    <w:rsid w:val="00F76FD6"/>
    <w:rsid w:val="00F77293"/>
    <w:rsid w:val="00F77C33"/>
    <w:rsid w:val="00F77D71"/>
    <w:rsid w:val="00F77F22"/>
    <w:rsid w:val="00F808F0"/>
    <w:rsid w:val="00F80927"/>
    <w:rsid w:val="00F80D74"/>
    <w:rsid w:val="00F819E1"/>
    <w:rsid w:val="00F822A0"/>
    <w:rsid w:val="00F82B44"/>
    <w:rsid w:val="00F82B8B"/>
    <w:rsid w:val="00F83A8B"/>
    <w:rsid w:val="00F83B2E"/>
    <w:rsid w:val="00F84099"/>
    <w:rsid w:val="00F8412E"/>
    <w:rsid w:val="00F843F7"/>
    <w:rsid w:val="00F8476D"/>
    <w:rsid w:val="00F84932"/>
    <w:rsid w:val="00F84A59"/>
    <w:rsid w:val="00F85501"/>
    <w:rsid w:val="00F856B7"/>
    <w:rsid w:val="00F856DE"/>
    <w:rsid w:val="00F85851"/>
    <w:rsid w:val="00F861D2"/>
    <w:rsid w:val="00F86769"/>
    <w:rsid w:val="00F8676D"/>
    <w:rsid w:val="00F86C16"/>
    <w:rsid w:val="00F86FBD"/>
    <w:rsid w:val="00F87272"/>
    <w:rsid w:val="00F874DD"/>
    <w:rsid w:val="00F8798B"/>
    <w:rsid w:val="00F87F91"/>
    <w:rsid w:val="00F9034D"/>
    <w:rsid w:val="00F903D1"/>
    <w:rsid w:val="00F90624"/>
    <w:rsid w:val="00F907AF"/>
    <w:rsid w:val="00F90E09"/>
    <w:rsid w:val="00F90E58"/>
    <w:rsid w:val="00F91633"/>
    <w:rsid w:val="00F91944"/>
    <w:rsid w:val="00F91CBC"/>
    <w:rsid w:val="00F91E36"/>
    <w:rsid w:val="00F922ED"/>
    <w:rsid w:val="00F9338F"/>
    <w:rsid w:val="00F93A0A"/>
    <w:rsid w:val="00F93FB2"/>
    <w:rsid w:val="00F94296"/>
    <w:rsid w:val="00F945C1"/>
    <w:rsid w:val="00F94A71"/>
    <w:rsid w:val="00F94CCA"/>
    <w:rsid w:val="00F95156"/>
    <w:rsid w:val="00F9535C"/>
    <w:rsid w:val="00F95426"/>
    <w:rsid w:val="00F95499"/>
    <w:rsid w:val="00F95780"/>
    <w:rsid w:val="00F95D44"/>
    <w:rsid w:val="00F95EFB"/>
    <w:rsid w:val="00F9624E"/>
    <w:rsid w:val="00F965FE"/>
    <w:rsid w:val="00F9660E"/>
    <w:rsid w:val="00F9687F"/>
    <w:rsid w:val="00F96923"/>
    <w:rsid w:val="00F96E26"/>
    <w:rsid w:val="00F970DB"/>
    <w:rsid w:val="00F9766C"/>
    <w:rsid w:val="00F97774"/>
    <w:rsid w:val="00FA008C"/>
    <w:rsid w:val="00FA0431"/>
    <w:rsid w:val="00FA04B0"/>
    <w:rsid w:val="00FA0577"/>
    <w:rsid w:val="00FA086C"/>
    <w:rsid w:val="00FA0870"/>
    <w:rsid w:val="00FA0FFB"/>
    <w:rsid w:val="00FA1292"/>
    <w:rsid w:val="00FA1441"/>
    <w:rsid w:val="00FA1596"/>
    <w:rsid w:val="00FA1D00"/>
    <w:rsid w:val="00FA203F"/>
    <w:rsid w:val="00FA25F4"/>
    <w:rsid w:val="00FA2775"/>
    <w:rsid w:val="00FA2D95"/>
    <w:rsid w:val="00FA38A1"/>
    <w:rsid w:val="00FA3C01"/>
    <w:rsid w:val="00FA3F41"/>
    <w:rsid w:val="00FA4181"/>
    <w:rsid w:val="00FA4A3B"/>
    <w:rsid w:val="00FA4FDA"/>
    <w:rsid w:val="00FA62C1"/>
    <w:rsid w:val="00FA63DE"/>
    <w:rsid w:val="00FA6706"/>
    <w:rsid w:val="00FA68B5"/>
    <w:rsid w:val="00FA6B17"/>
    <w:rsid w:val="00FA6F91"/>
    <w:rsid w:val="00FA71CD"/>
    <w:rsid w:val="00FA7860"/>
    <w:rsid w:val="00FB0060"/>
    <w:rsid w:val="00FB012F"/>
    <w:rsid w:val="00FB044E"/>
    <w:rsid w:val="00FB0A08"/>
    <w:rsid w:val="00FB0AD3"/>
    <w:rsid w:val="00FB0C39"/>
    <w:rsid w:val="00FB0D58"/>
    <w:rsid w:val="00FB1081"/>
    <w:rsid w:val="00FB1730"/>
    <w:rsid w:val="00FB185F"/>
    <w:rsid w:val="00FB21EE"/>
    <w:rsid w:val="00FB2305"/>
    <w:rsid w:val="00FB231D"/>
    <w:rsid w:val="00FB2386"/>
    <w:rsid w:val="00FB2506"/>
    <w:rsid w:val="00FB2985"/>
    <w:rsid w:val="00FB3022"/>
    <w:rsid w:val="00FB306B"/>
    <w:rsid w:val="00FB3784"/>
    <w:rsid w:val="00FB41DC"/>
    <w:rsid w:val="00FB4A2E"/>
    <w:rsid w:val="00FB50C2"/>
    <w:rsid w:val="00FB529D"/>
    <w:rsid w:val="00FB56C5"/>
    <w:rsid w:val="00FB57EF"/>
    <w:rsid w:val="00FB59E5"/>
    <w:rsid w:val="00FB5FB0"/>
    <w:rsid w:val="00FB6F0E"/>
    <w:rsid w:val="00FB73B9"/>
    <w:rsid w:val="00FB75D8"/>
    <w:rsid w:val="00FB7747"/>
    <w:rsid w:val="00FB7C86"/>
    <w:rsid w:val="00FB7E29"/>
    <w:rsid w:val="00FB7F55"/>
    <w:rsid w:val="00FC01A4"/>
    <w:rsid w:val="00FC06BF"/>
    <w:rsid w:val="00FC0AE4"/>
    <w:rsid w:val="00FC0E21"/>
    <w:rsid w:val="00FC1694"/>
    <w:rsid w:val="00FC18A5"/>
    <w:rsid w:val="00FC1CF2"/>
    <w:rsid w:val="00FC1ED5"/>
    <w:rsid w:val="00FC2124"/>
    <w:rsid w:val="00FC2576"/>
    <w:rsid w:val="00FC2A8A"/>
    <w:rsid w:val="00FC2E45"/>
    <w:rsid w:val="00FC351E"/>
    <w:rsid w:val="00FC35DE"/>
    <w:rsid w:val="00FC3E9C"/>
    <w:rsid w:val="00FC4398"/>
    <w:rsid w:val="00FC4401"/>
    <w:rsid w:val="00FC48D8"/>
    <w:rsid w:val="00FC4B62"/>
    <w:rsid w:val="00FC4BA2"/>
    <w:rsid w:val="00FC503B"/>
    <w:rsid w:val="00FC5301"/>
    <w:rsid w:val="00FC588B"/>
    <w:rsid w:val="00FC5B26"/>
    <w:rsid w:val="00FC5E55"/>
    <w:rsid w:val="00FC5F5C"/>
    <w:rsid w:val="00FC6028"/>
    <w:rsid w:val="00FC635D"/>
    <w:rsid w:val="00FC66B8"/>
    <w:rsid w:val="00FC6947"/>
    <w:rsid w:val="00FC6E6C"/>
    <w:rsid w:val="00FC6E74"/>
    <w:rsid w:val="00FC7029"/>
    <w:rsid w:val="00FC7186"/>
    <w:rsid w:val="00FC742F"/>
    <w:rsid w:val="00FC7C89"/>
    <w:rsid w:val="00FD028C"/>
    <w:rsid w:val="00FD0F61"/>
    <w:rsid w:val="00FD10DB"/>
    <w:rsid w:val="00FD1280"/>
    <w:rsid w:val="00FD143C"/>
    <w:rsid w:val="00FD1946"/>
    <w:rsid w:val="00FD2965"/>
    <w:rsid w:val="00FD2A64"/>
    <w:rsid w:val="00FD2CC3"/>
    <w:rsid w:val="00FD31C7"/>
    <w:rsid w:val="00FD324E"/>
    <w:rsid w:val="00FD3ABA"/>
    <w:rsid w:val="00FD3D61"/>
    <w:rsid w:val="00FD3E9C"/>
    <w:rsid w:val="00FD436D"/>
    <w:rsid w:val="00FD491D"/>
    <w:rsid w:val="00FD49DB"/>
    <w:rsid w:val="00FD5062"/>
    <w:rsid w:val="00FD506B"/>
    <w:rsid w:val="00FD57A5"/>
    <w:rsid w:val="00FD5FCA"/>
    <w:rsid w:val="00FD63EF"/>
    <w:rsid w:val="00FD6D64"/>
    <w:rsid w:val="00FD70C7"/>
    <w:rsid w:val="00FD7399"/>
    <w:rsid w:val="00FD764D"/>
    <w:rsid w:val="00FD7ACC"/>
    <w:rsid w:val="00FD7B35"/>
    <w:rsid w:val="00FD7BCD"/>
    <w:rsid w:val="00FD7C6C"/>
    <w:rsid w:val="00FD7CDC"/>
    <w:rsid w:val="00FD7F20"/>
    <w:rsid w:val="00FE01A6"/>
    <w:rsid w:val="00FE02F8"/>
    <w:rsid w:val="00FE09B1"/>
    <w:rsid w:val="00FE0BA6"/>
    <w:rsid w:val="00FE1445"/>
    <w:rsid w:val="00FE153E"/>
    <w:rsid w:val="00FE1769"/>
    <w:rsid w:val="00FE18D2"/>
    <w:rsid w:val="00FE18EF"/>
    <w:rsid w:val="00FE1CE2"/>
    <w:rsid w:val="00FE1DFC"/>
    <w:rsid w:val="00FE21B5"/>
    <w:rsid w:val="00FE233C"/>
    <w:rsid w:val="00FE235B"/>
    <w:rsid w:val="00FE2620"/>
    <w:rsid w:val="00FE262C"/>
    <w:rsid w:val="00FE27FE"/>
    <w:rsid w:val="00FE2852"/>
    <w:rsid w:val="00FE2A5D"/>
    <w:rsid w:val="00FE2F5F"/>
    <w:rsid w:val="00FE393B"/>
    <w:rsid w:val="00FE4608"/>
    <w:rsid w:val="00FE4826"/>
    <w:rsid w:val="00FE5DD2"/>
    <w:rsid w:val="00FE633A"/>
    <w:rsid w:val="00FE66DF"/>
    <w:rsid w:val="00FE6845"/>
    <w:rsid w:val="00FE693B"/>
    <w:rsid w:val="00FE6AD1"/>
    <w:rsid w:val="00FE6C84"/>
    <w:rsid w:val="00FE772E"/>
    <w:rsid w:val="00FE78FD"/>
    <w:rsid w:val="00FE7BA2"/>
    <w:rsid w:val="00FF005E"/>
    <w:rsid w:val="00FF0126"/>
    <w:rsid w:val="00FF0586"/>
    <w:rsid w:val="00FF059D"/>
    <w:rsid w:val="00FF0724"/>
    <w:rsid w:val="00FF08CD"/>
    <w:rsid w:val="00FF09BD"/>
    <w:rsid w:val="00FF12E6"/>
    <w:rsid w:val="00FF1744"/>
    <w:rsid w:val="00FF183A"/>
    <w:rsid w:val="00FF1F34"/>
    <w:rsid w:val="00FF2265"/>
    <w:rsid w:val="00FF2DD8"/>
    <w:rsid w:val="00FF3223"/>
    <w:rsid w:val="00FF3496"/>
    <w:rsid w:val="00FF363E"/>
    <w:rsid w:val="00FF3CA1"/>
    <w:rsid w:val="00FF4177"/>
    <w:rsid w:val="00FF42A1"/>
    <w:rsid w:val="00FF4553"/>
    <w:rsid w:val="00FF45D1"/>
    <w:rsid w:val="00FF4675"/>
    <w:rsid w:val="00FF48C8"/>
    <w:rsid w:val="00FF49EF"/>
    <w:rsid w:val="00FF4EC2"/>
    <w:rsid w:val="00FF5142"/>
    <w:rsid w:val="00FF7040"/>
    <w:rsid w:val="00FF74AC"/>
    <w:rsid w:val="00FF74CE"/>
    <w:rsid w:val="00FF77EC"/>
    <w:rsid w:val="00FF7932"/>
    <w:rsid w:val="00FF7C7F"/>
    <w:rsid w:val="047A472E"/>
    <w:rsid w:val="0CA53C6D"/>
    <w:rsid w:val="0E60322C"/>
    <w:rsid w:val="1C467056"/>
    <w:rsid w:val="1D3DCEF8"/>
    <w:rsid w:val="1F7A22FA"/>
    <w:rsid w:val="1FABAA86"/>
    <w:rsid w:val="2D228BB6"/>
    <w:rsid w:val="377C86A2"/>
    <w:rsid w:val="3CAE58A4"/>
    <w:rsid w:val="3CE3BA19"/>
    <w:rsid w:val="46B40971"/>
    <w:rsid w:val="4A924ED7"/>
    <w:rsid w:val="4DFC659A"/>
    <w:rsid w:val="68F51F73"/>
    <w:rsid w:val="6EEE97F5"/>
    <w:rsid w:val="7DA0F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DD875"/>
  <w15:docId w15:val="{3078F5A8-4199-4D32-88D3-892C458A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D6708E"/>
    <w:pPr>
      <w:widowControl w:val="0"/>
      <w:kinsoku w:val="0"/>
      <w:overflowPunct w:val="0"/>
      <w:autoSpaceDE w:val="0"/>
      <w:autoSpaceDN w:val="0"/>
      <w:adjustRightInd w:val="0"/>
      <w:ind w:right="15"/>
      <w:jc w:val="center"/>
      <w:outlineLvl w:val="0"/>
    </w:pPr>
    <w:rPr>
      <w:rFonts w:eastAsiaTheme="minorEastAsia"/>
      <w:b/>
      <w:bCs/>
      <w:spacing w:val="-1"/>
      <w:sz w:val="32"/>
      <w:szCs w:val="32"/>
      <w:lang w:val="es-MX" w:eastAsia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1"/>
    <w:qFormat/>
    <w:rsid w:val="00A3561C"/>
    <w:pPr>
      <w:widowControl w:val="0"/>
      <w:autoSpaceDE w:val="0"/>
      <w:autoSpaceDN w:val="0"/>
      <w:adjustRightInd w:val="0"/>
      <w:ind w:right="15"/>
      <w:jc w:val="left"/>
      <w:outlineLvl w:val="1"/>
    </w:pPr>
    <w:rPr>
      <w:rFonts w:eastAsiaTheme="minorEastAsia"/>
      <w:b/>
      <w:bCs/>
      <w:i/>
      <w:iCs/>
      <w:lang w:val="es-MX" w:eastAsia="es-MX"/>
      <w14:ligatures w14:val="standardContextual"/>
    </w:rPr>
  </w:style>
  <w:style w:type="paragraph" w:styleId="Ttulo3">
    <w:name w:val="heading 3"/>
    <w:basedOn w:val="Normal"/>
    <w:next w:val="Normal"/>
    <w:link w:val="Ttulo3Car"/>
    <w:unhideWhenUsed/>
    <w:qFormat/>
    <w:rsid w:val="00177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nhideWhenUsed/>
    <w:qFormat/>
    <w:rsid w:val="001774E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1774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link w:val="TextoindependienteCar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link w:val="TextodegloboCar"/>
    <w:uiPriority w:val="99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aliases w:val="Concepto,Párrafo,de,lista"/>
    <w:basedOn w:val="Normal"/>
    <w:link w:val="PrrafodelistaCar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3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styleId="Listaconvietas2">
    <w:name w:val="List Bullet 2"/>
    <w:basedOn w:val="Normal"/>
    <w:unhideWhenUsed/>
    <w:rsid w:val="00B53CFF"/>
    <w:pPr>
      <w:numPr>
        <w:numId w:val="20"/>
      </w:numPr>
      <w:contextualSpacing/>
    </w:pPr>
  </w:style>
  <w:style w:type="paragraph" w:styleId="Sangradetextonormal">
    <w:name w:val="Body Text Indent"/>
    <w:basedOn w:val="Normal"/>
    <w:link w:val="SangradetextonormalCar"/>
    <w:unhideWhenUsed/>
    <w:rsid w:val="00B53CF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B53CFF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53CFF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B53CFF"/>
    <w:rPr>
      <w:rFonts w:ascii="Arial" w:hAnsi="Arial" w:cs="Arial"/>
      <w:sz w:val="24"/>
      <w:szCs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1774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1774E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1774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7EC4"/>
    <w:rPr>
      <w:color w:val="808080"/>
      <w:shd w:val="clear" w:color="auto" w:fill="E6E6E6"/>
    </w:rPr>
  </w:style>
  <w:style w:type="character" w:customStyle="1" w:styleId="SubttuloCar">
    <w:name w:val="Subtítulo Car"/>
    <w:basedOn w:val="Fuentedeprrafopredeter"/>
    <w:link w:val="Subttulo"/>
    <w:rsid w:val="002122B8"/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F66F76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3355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94888"/>
    <w:rPr>
      <w:rFonts w:ascii="Arial" w:hAnsi="Arial" w:cs="Arial"/>
      <w:sz w:val="24"/>
      <w:szCs w:val="24"/>
      <w:lang w:val="es-ES_tradnl" w:eastAsia="es-ES"/>
    </w:rPr>
  </w:style>
  <w:style w:type="character" w:styleId="Refdecomentario">
    <w:name w:val="annotation reference"/>
    <w:basedOn w:val="Fuentedeprrafopredeter"/>
    <w:semiHidden/>
    <w:unhideWhenUsed/>
    <w:rsid w:val="00DF50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F50DE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F50DE"/>
    <w:rPr>
      <w:rFonts w:ascii="Arial" w:hAnsi="Arial" w:cs="Arial"/>
      <w:b/>
      <w:bCs/>
      <w:lang w:val="es-ES_tradnl" w:eastAsia="es-ES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8E0DF6"/>
    <w:rPr>
      <w:color w:val="605E5C"/>
      <w:shd w:val="clear" w:color="auto" w:fill="E1DFDD"/>
    </w:rPr>
  </w:style>
  <w:style w:type="character" w:customStyle="1" w:styleId="Ttulo1Car">
    <w:name w:val="Título 1 Car"/>
    <w:link w:val="Ttulo1"/>
    <w:uiPriority w:val="1"/>
    <w:rsid w:val="00D6708E"/>
    <w:rPr>
      <w:rFonts w:ascii="Arial" w:eastAsiaTheme="minorEastAsia" w:hAnsi="Arial" w:cs="Arial"/>
      <w:b/>
      <w:bCs/>
      <w:spacing w:val="-1"/>
      <w:sz w:val="32"/>
      <w:szCs w:val="32"/>
      <w14:ligatures w14:val="standardContextual"/>
    </w:rPr>
  </w:style>
  <w:style w:type="table" w:customStyle="1" w:styleId="TableGrid">
    <w:name w:val="TableGrid"/>
    <w:rsid w:val="00F874DD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DE119F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0F93"/>
    <w:rPr>
      <w:rFonts w:ascii="Arial" w:hAnsi="Arial" w:cs="Arial"/>
      <w:sz w:val="24"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1"/>
    <w:rsid w:val="00A3561C"/>
    <w:rPr>
      <w:rFonts w:ascii="Arial" w:eastAsiaTheme="minorEastAsia" w:hAnsi="Arial" w:cs="Arial"/>
      <w:b/>
      <w:bCs/>
      <w:i/>
      <w:iCs/>
      <w:sz w:val="24"/>
      <w:szCs w:val="24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rsid w:val="00A764CD"/>
    <w:rPr>
      <w:rFonts w:ascii="Arial" w:hAnsi="Arial" w:cs="Arial"/>
      <w:color w:val="0000FF"/>
      <w:sz w:val="24"/>
      <w:szCs w:val="24"/>
      <w:lang w:val="es-ES_tradnl" w:eastAsia="es-ES"/>
    </w:rPr>
  </w:style>
  <w:style w:type="character" w:customStyle="1" w:styleId="PrrafodelistaCar">
    <w:name w:val="Párrafo de lista Car"/>
    <w:aliases w:val="Concepto Car,Párrafo Car,de Car,lista Car"/>
    <w:link w:val="Prrafodelista"/>
    <w:uiPriority w:val="34"/>
    <w:locked/>
    <w:rsid w:val="00B730F2"/>
    <w:rPr>
      <w:rFonts w:ascii="Arial" w:hAnsi="Arial" w:cs="Arial"/>
      <w:sz w:val="24"/>
      <w:szCs w:val="24"/>
      <w:lang w:val="es-ES_tradnl" w:eastAsia="es-ES"/>
    </w:rPr>
  </w:style>
  <w:style w:type="paragraph" w:customStyle="1" w:styleId="p01">
    <w:name w:val="p01"/>
    <w:basedOn w:val="Normal"/>
    <w:next w:val="p0"/>
    <w:rsid w:val="006C565D"/>
    <w:pPr>
      <w:keepLines/>
      <w:spacing w:before="240"/>
    </w:pPr>
    <w:rPr>
      <w:rFonts w:ascii="Univers" w:hAnsi="Univers" w:cs="Times New Roman"/>
      <w:color w:val="0000FF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A1F"/>
    <w:rPr>
      <w:rFonts w:ascii="Tahoma" w:hAnsi="Tahoma" w:cs="Tahoma"/>
      <w:sz w:val="16"/>
      <w:szCs w:val="16"/>
      <w:lang w:val="es-ES_tradnl" w:eastAsia="es-ES"/>
    </w:rPr>
  </w:style>
  <w:style w:type="paragraph" w:customStyle="1" w:styleId="parrafo1">
    <w:name w:val="parrafo1"/>
    <w:basedOn w:val="p0"/>
    <w:rsid w:val="00996F51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  <w:lang w:val="es-MX"/>
    </w:rPr>
  </w:style>
  <w:style w:type="paragraph" w:customStyle="1" w:styleId="p02">
    <w:name w:val="p02"/>
    <w:basedOn w:val="Normal"/>
    <w:next w:val="p0"/>
    <w:rsid w:val="002D6E7A"/>
    <w:pPr>
      <w:keepLines/>
      <w:spacing w:before="240"/>
      <w:ind w:right="11"/>
    </w:pPr>
    <w:rPr>
      <w:rFonts w:ascii="Univers" w:hAnsi="Univers" w:cs="Times New Roman"/>
      <w:color w:val="0000FF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hart" Target="charts/chart16.xml"/><Relationship Id="rId21" Type="http://schemas.openxmlformats.org/officeDocument/2006/relationships/chart" Target="charts/chart11.xml"/><Relationship Id="rId42" Type="http://schemas.openxmlformats.org/officeDocument/2006/relationships/chart" Target="charts/chart32.xml"/><Relationship Id="rId47" Type="http://schemas.openxmlformats.org/officeDocument/2006/relationships/chart" Target="charts/chart37.xml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9" Type="http://schemas.openxmlformats.org/officeDocument/2006/relationships/chart" Target="charts/chart19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chart" Target="charts/chart22.xml"/><Relationship Id="rId37" Type="http://schemas.openxmlformats.org/officeDocument/2006/relationships/chart" Target="charts/chart27.xml"/><Relationship Id="rId40" Type="http://schemas.openxmlformats.org/officeDocument/2006/relationships/chart" Target="charts/chart30.xml"/><Relationship Id="rId45" Type="http://schemas.openxmlformats.org/officeDocument/2006/relationships/chart" Target="charts/chart35.xml"/><Relationship Id="rId53" Type="http://schemas.openxmlformats.org/officeDocument/2006/relationships/image" Target="media/image1.png"/><Relationship Id="rId58" Type="http://schemas.openxmlformats.org/officeDocument/2006/relationships/hyperlink" Target="https://www.youtube.com/user/INEGIInforma" TargetMode="External"/><Relationship Id="rId66" Type="http://schemas.openxmlformats.org/officeDocument/2006/relationships/header" Target="header3.xml"/><Relationship Id="rId5" Type="http://schemas.openxmlformats.org/officeDocument/2006/relationships/numbering" Target="numbering.xml"/><Relationship Id="rId61" Type="http://schemas.openxmlformats.org/officeDocument/2006/relationships/image" Target="media/image5.png"/><Relationship Id="rId19" Type="http://schemas.openxmlformats.org/officeDocument/2006/relationships/chart" Target="charts/chart9.xm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chart" Target="charts/chart20.xml"/><Relationship Id="rId35" Type="http://schemas.openxmlformats.org/officeDocument/2006/relationships/chart" Target="charts/chart25.xml"/><Relationship Id="rId43" Type="http://schemas.openxmlformats.org/officeDocument/2006/relationships/chart" Target="charts/chart33.xml"/><Relationship Id="rId48" Type="http://schemas.openxmlformats.org/officeDocument/2006/relationships/chart" Target="charts/chart38.xml"/><Relationship Id="rId56" Type="http://schemas.openxmlformats.org/officeDocument/2006/relationships/hyperlink" Target="https://twitter.com/INEGI_INFORMA" TargetMode="External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inegi.org.mx/app/biblioteca/ficha.html?upc=702825099060" TargetMode="Externa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chart" Target="charts/chart23.xml"/><Relationship Id="rId38" Type="http://schemas.openxmlformats.org/officeDocument/2006/relationships/chart" Target="charts/chart28.xml"/><Relationship Id="rId46" Type="http://schemas.openxmlformats.org/officeDocument/2006/relationships/chart" Target="charts/chart36.xml"/><Relationship Id="rId59" Type="http://schemas.openxmlformats.org/officeDocument/2006/relationships/image" Target="media/image4.png"/><Relationship Id="rId67" Type="http://schemas.openxmlformats.org/officeDocument/2006/relationships/footer" Target="footer3.xml"/><Relationship Id="rId20" Type="http://schemas.openxmlformats.org/officeDocument/2006/relationships/chart" Target="charts/chart10.xml"/><Relationship Id="rId41" Type="http://schemas.openxmlformats.org/officeDocument/2006/relationships/chart" Target="charts/chart31.xml"/><Relationship Id="rId54" Type="http://schemas.openxmlformats.org/officeDocument/2006/relationships/hyperlink" Target="https://www.instagram.com/inegi_informa/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36" Type="http://schemas.openxmlformats.org/officeDocument/2006/relationships/chart" Target="charts/chart26.xml"/><Relationship Id="rId49" Type="http://schemas.openxmlformats.org/officeDocument/2006/relationships/chart" Target="charts/chart39.xml"/><Relationship Id="rId57" Type="http://schemas.openxmlformats.org/officeDocument/2006/relationships/image" Target="media/image3.png"/><Relationship Id="rId10" Type="http://schemas.openxmlformats.org/officeDocument/2006/relationships/endnotes" Target="endnotes.xml"/><Relationship Id="rId31" Type="http://schemas.openxmlformats.org/officeDocument/2006/relationships/chart" Target="charts/chart21.xml"/><Relationship Id="rId44" Type="http://schemas.openxmlformats.org/officeDocument/2006/relationships/chart" Target="charts/chart34.xml"/><Relationship Id="rId52" Type="http://schemas.openxmlformats.org/officeDocument/2006/relationships/hyperlink" Target="https://www.facebook.com/INEGIInforma/" TargetMode="External"/><Relationship Id="rId60" Type="http://schemas.openxmlformats.org/officeDocument/2006/relationships/hyperlink" Target="http://www.inegi.org.mx/" TargetMode="External"/><Relationship Id="rId65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9" Type="http://schemas.openxmlformats.org/officeDocument/2006/relationships/chart" Target="charts/chart29.xml"/><Relationship Id="rId34" Type="http://schemas.openxmlformats.org/officeDocument/2006/relationships/chart" Target="charts/chart24.xml"/><Relationship Id="rId50" Type="http://schemas.openxmlformats.org/officeDocument/2006/relationships/chart" Target="charts/chart40.xml"/><Relationship Id="rId55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Relationship Id="rId5" Type="http://schemas.openxmlformats.org/officeDocument/2006/relationships/image" Target="media/image9.png"/><Relationship Id="rId4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ctorm.chavez\Documents\Plantillas%20personalizadas%20de%20Office\Plantilla%20oficial%20Bolet&#237;n-Prensa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otas%20Trabajo%202021\ITAEE\Nueva%20serie%202018\2024\3&#176;trim-24%20(BI)\Gr&#225;ficas_ITAE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.xlsx" TargetMode="External"/></Relationships>
</file>

<file path=word/charts/_rels/chart3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Notas%20Trabajo%202021\ITAEE\Nueva%20serie%202018\2024\3&#176;trim-24%20(BI)\Gr&#225;ficas_ITAEE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otas%20Trabajo%202021\ITAEE\Nueva%20serie%202018\2024\3&#176;trim-24%20(BI)\Gr&#225;ficas_ITAEE_Entidad_Federativa(cifras%20desestacionalizadas)_l&#237;neas_uv_2019_2024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2766319444444447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Datos!$C$27:$C$49</c:f>
              <c:numCache>
                <c:formatCode>0.0</c:formatCode>
                <c:ptCount val="23"/>
                <c:pt idx="0">
                  <c:v>97.773641256751404</c:v>
                </c:pt>
                <c:pt idx="1">
                  <c:v>100.913436391738</c:v>
                </c:pt>
                <c:pt idx="2">
                  <c:v>101.70555051033099</c:v>
                </c:pt>
                <c:pt idx="3">
                  <c:v>101.32910775548</c:v>
                </c:pt>
                <c:pt idx="4">
                  <c:v>100.122381374322</c:v>
                </c:pt>
                <c:pt idx="5">
                  <c:v>77.449560112123194</c:v>
                </c:pt>
                <c:pt idx="6">
                  <c:v>96.654967349748304</c:v>
                </c:pt>
                <c:pt idx="7">
                  <c:v>101.708086675027</c:v>
                </c:pt>
                <c:pt idx="8">
                  <c:v>101.507420501803</c:v>
                </c:pt>
                <c:pt idx="9">
                  <c:v>96.715224586318101</c:v>
                </c:pt>
                <c:pt idx="10">
                  <c:v>92.458918120189793</c:v>
                </c:pt>
                <c:pt idx="11">
                  <c:v>94.698535115441501</c:v>
                </c:pt>
                <c:pt idx="12">
                  <c:v>96.523102114036007</c:v>
                </c:pt>
                <c:pt idx="13">
                  <c:v>96.907454847512298</c:v>
                </c:pt>
                <c:pt idx="14">
                  <c:v>96.155564901002805</c:v>
                </c:pt>
                <c:pt idx="15">
                  <c:v>94.901899649210705</c:v>
                </c:pt>
                <c:pt idx="16">
                  <c:v>99.123025766698504</c:v>
                </c:pt>
                <c:pt idx="17">
                  <c:v>101.580152958179</c:v>
                </c:pt>
                <c:pt idx="18">
                  <c:v>103.85822059714199</c:v>
                </c:pt>
                <c:pt idx="19">
                  <c:v>102.234361788483</c:v>
                </c:pt>
                <c:pt idx="20">
                  <c:v>100.846954305119</c:v>
                </c:pt>
                <c:pt idx="21">
                  <c:v>102.242581458077</c:v>
                </c:pt>
                <c:pt idx="22">
                  <c:v>102.59266649935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D42-4C22-B08D-7C0A2273FAE8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Datos!$D$27:$D$49</c:f>
              <c:numCache>
                <c:formatCode>0.0</c:formatCode>
                <c:ptCount val="23"/>
                <c:pt idx="0">
                  <c:v>99.380285621595704</c:v>
                </c:pt>
                <c:pt idx="1">
                  <c:v>100.293155159707</c:v>
                </c:pt>
                <c:pt idx="2">
                  <c:v>101.738982159342</c:v>
                </c:pt>
                <c:pt idx="3">
                  <c:v>101.17541088708199</c:v>
                </c:pt>
                <c:pt idx="4">
                  <c:v>100.37797761728</c:v>
                </c:pt>
                <c:pt idx="5">
                  <c:v>100.531776203658</c:v>
                </c:pt>
                <c:pt idx="6">
                  <c:v>101.35227593598</c:v>
                </c:pt>
                <c:pt idx="7">
                  <c:v>102.031247346339</c:v>
                </c:pt>
                <c:pt idx="8">
                  <c:v>100.76614591768001</c:v>
                </c:pt>
                <c:pt idx="9">
                  <c:v>96.895586940688403</c:v>
                </c:pt>
                <c:pt idx="10">
                  <c:v>93.863989062153607</c:v>
                </c:pt>
                <c:pt idx="11">
                  <c:v>94.507858722425198</c:v>
                </c:pt>
                <c:pt idx="12">
                  <c:v>96.365133620783993</c:v>
                </c:pt>
                <c:pt idx="13">
                  <c:v>96.775569315707003</c:v>
                </c:pt>
                <c:pt idx="14">
                  <c:v>96.193786288290397</c:v>
                </c:pt>
                <c:pt idx="15">
                  <c:v>96.692207425793498</c:v>
                </c:pt>
                <c:pt idx="16">
                  <c:v>98.905602966058794</c:v>
                </c:pt>
                <c:pt idx="17">
                  <c:v>101.86226862644899</c:v>
                </c:pt>
                <c:pt idx="18">
                  <c:v>103.28099633830099</c:v>
                </c:pt>
                <c:pt idx="19">
                  <c:v>102.35124180141899</c:v>
                </c:pt>
                <c:pt idx="20">
                  <c:v>101.3150604633</c:v>
                </c:pt>
                <c:pt idx="21">
                  <c:v>101.837767203032</c:v>
                </c:pt>
                <c:pt idx="22">
                  <c:v>102.820624672075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D42-4C22-B08D-7C0A2273FAE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89999032"/>
        <c:axId val="190004520"/>
      </c:lineChart>
      <c:catAx>
        <c:axId val="18999903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0004520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190004520"/>
        <c:scaling>
          <c:orientation val="minMax"/>
          <c:max val="110"/>
          <c:min val="7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89999032"/>
        <c:crosses val="autoZero"/>
        <c:crossBetween val="between"/>
        <c:majorUnit val="10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738958333333335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Datos!$U$27:$U$49</c:f>
              <c:numCache>
                <c:formatCode>0.0</c:formatCode>
                <c:ptCount val="23"/>
                <c:pt idx="0">
                  <c:v>101.011588148081</c:v>
                </c:pt>
                <c:pt idx="1">
                  <c:v>101.065324424748</c:v>
                </c:pt>
                <c:pt idx="2">
                  <c:v>99.131450643321301</c:v>
                </c:pt>
                <c:pt idx="3">
                  <c:v>98.711227942468497</c:v>
                </c:pt>
                <c:pt idx="4">
                  <c:v>97.9138225480513</c:v>
                </c:pt>
                <c:pt idx="5">
                  <c:v>85.645772058706896</c:v>
                </c:pt>
                <c:pt idx="6">
                  <c:v>92.772815029915293</c:v>
                </c:pt>
                <c:pt idx="7">
                  <c:v>94.317094114819</c:v>
                </c:pt>
                <c:pt idx="8">
                  <c:v>97.224966772728095</c:v>
                </c:pt>
                <c:pt idx="9">
                  <c:v>98.165850240399095</c:v>
                </c:pt>
                <c:pt idx="10">
                  <c:v>98.172445380650501</c:v>
                </c:pt>
                <c:pt idx="11">
                  <c:v>99.264307083443001</c:v>
                </c:pt>
                <c:pt idx="12">
                  <c:v>96.613665306472896</c:v>
                </c:pt>
                <c:pt idx="13">
                  <c:v>96.516916494106596</c:v>
                </c:pt>
                <c:pt idx="14">
                  <c:v>97.691883413393498</c:v>
                </c:pt>
                <c:pt idx="15">
                  <c:v>97.630792111153596</c:v>
                </c:pt>
                <c:pt idx="16">
                  <c:v>99.421480397251898</c:v>
                </c:pt>
                <c:pt idx="17">
                  <c:v>100.518371769608</c:v>
                </c:pt>
                <c:pt idx="18">
                  <c:v>100.041184732967</c:v>
                </c:pt>
                <c:pt idx="19">
                  <c:v>101.542343231647</c:v>
                </c:pt>
                <c:pt idx="20">
                  <c:v>103.699988821612</c:v>
                </c:pt>
                <c:pt idx="21">
                  <c:v>108.846637746263</c:v>
                </c:pt>
                <c:pt idx="22">
                  <c:v>105.391818258085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599-4ECA-B96C-D32FC7D50072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Datos!$V$27:$V$49</c:f>
              <c:numCache>
                <c:formatCode>0.0</c:formatCode>
                <c:ptCount val="23"/>
                <c:pt idx="0">
                  <c:v>101.415111736695</c:v>
                </c:pt>
                <c:pt idx="1">
                  <c:v>100.587923418424</c:v>
                </c:pt>
                <c:pt idx="2">
                  <c:v>99.527373696359604</c:v>
                </c:pt>
                <c:pt idx="3">
                  <c:v>98.495506142534197</c:v>
                </c:pt>
                <c:pt idx="4">
                  <c:v>97.909745067378395</c:v>
                </c:pt>
                <c:pt idx="5">
                  <c:v>91.434225988537307</c:v>
                </c:pt>
                <c:pt idx="6">
                  <c:v>92.552636987171894</c:v>
                </c:pt>
                <c:pt idx="7">
                  <c:v>94.661080800568101</c:v>
                </c:pt>
                <c:pt idx="8">
                  <c:v>96.904585807177995</c:v>
                </c:pt>
                <c:pt idx="9">
                  <c:v>98.167135390019894</c:v>
                </c:pt>
                <c:pt idx="10">
                  <c:v>98.380235150340894</c:v>
                </c:pt>
                <c:pt idx="11">
                  <c:v>97.885619870911199</c:v>
                </c:pt>
                <c:pt idx="12">
                  <c:v>96.875148165835</c:v>
                </c:pt>
                <c:pt idx="13">
                  <c:v>96.6734494618767</c:v>
                </c:pt>
                <c:pt idx="14">
                  <c:v>97.309836251828699</c:v>
                </c:pt>
                <c:pt idx="15">
                  <c:v>98.099328585383603</c:v>
                </c:pt>
                <c:pt idx="16">
                  <c:v>99.328022927577294</c:v>
                </c:pt>
                <c:pt idx="17">
                  <c:v>100.185688539065</c:v>
                </c:pt>
                <c:pt idx="18">
                  <c:v>100.39908658665701</c:v>
                </c:pt>
                <c:pt idx="19">
                  <c:v>101.606639146367</c:v>
                </c:pt>
                <c:pt idx="20">
                  <c:v>103.391809617505</c:v>
                </c:pt>
                <c:pt idx="21">
                  <c:v>104.532176072583</c:v>
                </c:pt>
                <c:pt idx="22">
                  <c:v>105.20682833885201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599-4ECA-B96C-D32FC7D5007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91617096"/>
        <c:axId val="191613960"/>
      </c:lineChart>
      <c:catAx>
        <c:axId val="19161709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613960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191613960"/>
        <c:scaling>
          <c:orientation val="minMax"/>
          <c:max val="110"/>
          <c:min val="8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617096"/>
        <c:crosses val="autoZero"/>
        <c:crossBetween val="between"/>
        <c:majorUnit val="10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738958333333335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Datos!$W$27:$W$49</c:f>
              <c:numCache>
                <c:formatCode>0.0</c:formatCode>
                <c:ptCount val="23"/>
                <c:pt idx="0">
                  <c:v>97.000923183417399</c:v>
                </c:pt>
                <c:pt idx="1">
                  <c:v>99.922003301189307</c:v>
                </c:pt>
                <c:pt idx="2">
                  <c:v>98.456885229624504</c:v>
                </c:pt>
                <c:pt idx="3">
                  <c:v>97.008926556610504</c:v>
                </c:pt>
                <c:pt idx="4">
                  <c:v>97.194007694544993</c:v>
                </c:pt>
                <c:pt idx="5">
                  <c:v>76.924831679314394</c:v>
                </c:pt>
                <c:pt idx="6">
                  <c:v>94.138518164097803</c:v>
                </c:pt>
                <c:pt idx="7">
                  <c:v>96.940190011593401</c:v>
                </c:pt>
                <c:pt idx="8">
                  <c:v>98.239362820654705</c:v>
                </c:pt>
                <c:pt idx="9">
                  <c:v>96.975675258540804</c:v>
                </c:pt>
                <c:pt idx="10">
                  <c:v>95.715249345067306</c:v>
                </c:pt>
                <c:pt idx="11">
                  <c:v>96.166730797137305</c:v>
                </c:pt>
                <c:pt idx="12">
                  <c:v>97.353542846210104</c:v>
                </c:pt>
                <c:pt idx="13">
                  <c:v>98.913775653610401</c:v>
                </c:pt>
                <c:pt idx="14">
                  <c:v>99.703293658608402</c:v>
                </c:pt>
                <c:pt idx="15">
                  <c:v>99.847898954053605</c:v>
                </c:pt>
                <c:pt idx="16">
                  <c:v>99.163411019814703</c:v>
                </c:pt>
                <c:pt idx="17">
                  <c:v>99.462650355713905</c:v>
                </c:pt>
                <c:pt idx="18">
                  <c:v>100.12776191774699</c:v>
                </c:pt>
                <c:pt idx="19">
                  <c:v>103.440044985876</c:v>
                </c:pt>
                <c:pt idx="20">
                  <c:v>102.464247278648</c:v>
                </c:pt>
                <c:pt idx="21">
                  <c:v>102.61681198387799</c:v>
                </c:pt>
                <c:pt idx="22">
                  <c:v>105.38639355636801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9AE-4574-A964-5B7EC75A86BF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Datos!$X$27:$X$49</c:f>
              <c:numCache>
                <c:formatCode>0.0</c:formatCode>
                <c:ptCount val="23"/>
                <c:pt idx="0">
                  <c:v>98.816170893286696</c:v>
                </c:pt>
                <c:pt idx="1">
                  <c:v>98.728580195384694</c:v>
                </c:pt>
                <c:pt idx="2">
                  <c:v>98.2128118813377</c:v>
                </c:pt>
                <c:pt idx="3">
                  <c:v>97.360009626684302</c:v>
                </c:pt>
                <c:pt idx="4">
                  <c:v>97.021728189927998</c:v>
                </c:pt>
                <c:pt idx="5">
                  <c:v>96.944820931154695</c:v>
                </c:pt>
                <c:pt idx="6">
                  <c:v>96.676778840907005</c:v>
                </c:pt>
                <c:pt idx="7">
                  <c:v>97.233121323229398</c:v>
                </c:pt>
                <c:pt idx="8">
                  <c:v>97.788260996655694</c:v>
                </c:pt>
                <c:pt idx="9">
                  <c:v>97.038636805258193</c:v>
                </c:pt>
                <c:pt idx="10">
                  <c:v>95.912416031061497</c:v>
                </c:pt>
                <c:pt idx="11">
                  <c:v>96.121597910678702</c:v>
                </c:pt>
                <c:pt idx="12">
                  <c:v>97.410979000626696</c:v>
                </c:pt>
                <c:pt idx="13">
                  <c:v>98.820528483242697</c:v>
                </c:pt>
                <c:pt idx="14">
                  <c:v>99.726054619701401</c:v>
                </c:pt>
                <c:pt idx="15">
                  <c:v>99.701266012028995</c:v>
                </c:pt>
                <c:pt idx="16">
                  <c:v>99.304786231016607</c:v>
                </c:pt>
                <c:pt idx="17">
                  <c:v>99.500043722434597</c:v>
                </c:pt>
                <c:pt idx="18">
                  <c:v>100.679717840698</c:v>
                </c:pt>
                <c:pt idx="19">
                  <c:v>101.852854858846</c:v>
                </c:pt>
                <c:pt idx="20">
                  <c:v>102.519906356581</c:v>
                </c:pt>
                <c:pt idx="21">
                  <c:v>103.554143071719</c:v>
                </c:pt>
                <c:pt idx="22">
                  <c:v>105.13758769229101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9AE-4574-A964-5B7EC75A86B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91615528"/>
        <c:axId val="191615136"/>
      </c:lineChart>
      <c:catAx>
        <c:axId val="19161552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615136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191615136"/>
        <c:scaling>
          <c:orientation val="minMax"/>
          <c:max val="108"/>
          <c:min val="7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615528"/>
        <c:crosses val="autoZero"/>
        <c:crossBetween val="between"/>
        <c:majorUnit val="10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738958333333335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Datos!$Y$27:$Y$49</c:f>
              <c:numCache>
                <c:formatCode>0.0</c:formatCode>
                <c:ptCount val="23"/>
                <c:pt idx="0">
                  <c:v>101.59334864019699</c:v>
                </c:pt>
                <c:pt idx="1">
                  <c:v>98.9933836367846</c:v>
                </c:pt>
                <c:pt idx="2">
                  <c:v>99.3213125337534</c:v>
                </c:pt>
                <c:pt idx="3">
                  <c:v>99.031209361252607</c:v>
                </c:pt>
                <c:pt idx="4">
                  <c:v>97.456815569040103</c:v>
                </c:pt>
                <c:pt idx="5">
                  <c:v>78.100676774269402</c:v>
                </c:pt>
                <c:pt idx="6">
                  <c:v>92.049844873167302</c:v>
                </c:pt>
                <c:pt idx="7">
                  <c:v>96.9692655762193</c:v>
                </c:pt>
                <c:pt idx="8">
                  <c:v>93.131321848683996</c:v>
                </c:pt>
                <c:pt idx="9">
                  <c:v>95.547375705706003</c:v>
                </c:pt>
                <c:pt idx="10">
                  <c:v>95.793791961700407</c:v>
                </c:pt>
                <c:pt idx="11">
                  <c:v>96.912894411916994</c:v>
                </c:pt>
                <c:pt idx="12">
                  <c:v>97.821836589807603</c:v>
                </c:pt>
                <c:pt idx="13">
                  <c:v>97.881860457967406</c:v>
                </c:pt>
                <c:pt idx="14">
                  <c:v>97.128961025714901</c:v>
                </c:pt>
                <c:pt idx="15">
                  <c:v>97.336175152837498</c:v>
                </c:pt>
                <c:pt idx="16">
                  <c:v>100.849059298941</c:v>
                </c:pt>
                <c:pt idx="17">
                  <c:v>99.259382315075698</c:v>
                </c:pt>
                <c:pt idx="18">
                  <c:v>100.85614982713901</c:v>
                </c:pt>
                <c:pt idx="19">
                  <c:v>93.511359026736798</c:v>
                </c:pt>
                <c:pt idx="20">
                  <c:v>98.422849696411106</c:v>
                </c:pt>
                <c:pt idx="21">
                  <c:v>101.794391854381</c:v>
                </c:pt>
                <c:pt idx="22">
                  <c:v>101.99799558287501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375-4608-B39A-E9ED689A64FA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Datos!$Z$27:$Z$49</c:f>
              <c:numCache>
                <c:formatCode>0.0</c:formatCode>
                <c:ptCount val="23"/>
                <c:pt idx="0">
                  <c:v>100.57507231933</c:v>
                </c:pt>
                <c:pt idx="1">
                  <c:v>99.789965158238502</c:v>
                </c:pt>
                <c:pt idx="2">
                  <c:v>99.111798178103697</c:v>
                </c:pt>
                <c:pt idx="3">
                  <c:v>98.669815626981702</c:v>
                </c:pt>
                <c:pt idx="4">
                  <c:v>98.029594680677306</c:v>
                </c:pt>
                <c:pt idx="5">
                  <c:v>92.757780435444005</c:v>
                </c:pt>
                <c:pt idx="6">
                  <c:v>93.856319933393607</c:v>
                </c:pt>
                <c:pt idx="7">
                  <c:v>93.851822856757906</c:v>
                </c:pt>
                <c:pt idx="8">
                  <c:v>94.104147841027498</c:v>
                </c:pt>
                <c:pt idx="9">
                  <c:v>95.012023885619499</c:v>
                </c:pt>
                <c:pt idx="10">
                  <c:v>96.071030623132899</c:v>
                </c:pt>
                <c:pt idx="11">
                  <c:v>96.880286520266594</c:v>
                </c:pt>
                <c:pt idx="12">
                  <c:v>97.772291785677595</c:v>
                </c:pt>
                <c:pt idx="13">
                  <c:v>97.754315426988995</c:v>
                </c:pt>
                <c:pt idx="14">
                  <c:v>97.123142741141194</c:v>
                </c:pt>
                <c:pt idx="15">
                  <c:v>97.980909456849204</c:v>
                </c:pt>
                <c:pt idx="16">
                  <c:v>99.347077518887602</c:v>
                </c:pt>
                <c:pt idx="17">
                  <c:v>100.091329909203</c:v>
                </c:pt>
                <c:pt idx="18">
                  <c:v>100.523936525712</c:v>
                </c:pt>
                <c:pt idx="19">
                  <c:v>100.103369771465</c:v>
                </c:pt>
                <c:pt idx="20">
                  <c:v>99.700397745495806</c:v>
                </c:pt>
                <c:pt idx="21">
                  <c:v>100.91837861284201</c:v>
                </c:pt>
                <c:pt idx="22">
                  <c:v>102.36697397199799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375-4608-B39A-E9ED689A64F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86716400"/>
        <c:axId val="186718752"/>
      </c:lineChart>
      <c:catAx>
        <c:axId val="18671640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86718752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186718752"/>
        <c:scaling>
          <c:orientation val="minMax"/>
          <c:max val="105"/>
          <c:min val="7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86716400"/>
        <c:crosses val="autoZero"/>
        <c:crossBetween val="between"/>
        <c:majorUnit val="10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79609529399912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Datos!$AA$27:$AA$49</c:f>
              <c:numCache>
                <c:formatCode>0.0</c:formatCode>
                <c:ptCount val="23"/>
                <c:pt idx="0">
                  <c:v>100.740164497102</c:v>
                </c:pt>
                <c:pt idx="1">
                  <c:v>96.315678373754096</c:v>
                </c:pt>
                <c:pt idx="2">
                  <c:v>97.237282137947602</c:v>
                </c:pt>
                <c:pt idx="3">
                  <c:v>95.955381385618594</c:v>
                </c:pt>
                <c:pt idx="4">
                  <c:v>93.971497494248197</c:v>
                </c:pt>
                <c:pt idx="5">
                  <c:v>81.416422563972603</c:v>
                </c:pt>
                <c:pt idx="6">
                  <c:v>83.3681382050774</c:v>
                </c:pt>
                <c:pt idx="7">
                  <c:v>88.226141300834399</c:v>
                </c:pt>
                <c:pt idx="8">
                  <c:v>92.348818873767897</c:v>
                </c:pt>
                <c:pt idx="9">
                  <c:v>93.904280798824502</c:v>
                </c:pt>
                <c:pt idx="10">
                  <c:v>92.804660343184494</c:v>
                </c:pt>
                <c:pt idx="11">
                  <c:v>93.489186894058605</c:v>
                </c:pt>
                <c:pt idx="12">
                  <c:v>97.250917641319404</c:v>
                </c:pt>
                <c:pt idx="13">
                  <c:v>102.359167029361</c:v>
                </c:pt>
                <c:pt idx="14">
                  <c:v>103.71524079429599</c:v>
                </c:pt>
                <c:pt idx="15">
                  <c:v>106.08872682679799</c:v>
                </c:pt>
                <c:pt idx="16">
                  <c:v>102.84890180317601</c:v>
                </c:pt>
                <c:pt idx="17">
                  <c:v>104.674410886738</c:v>
                </c:pt>
                <c:pt idx="18">
                  <c:v>107.53056287665299</c:v>
                </c:pt>
                <c:pt idx="19">
                  <c:v>105.356591955262</c:v>
                </c:pt>
                <c:pt idx="20">
                  <c:v>106.27437330298601</c:v>
                </c:pt>
                <c:pt idx="21">
                  <c:v>104.527737902185</c:v>
                </c:pt>
                <c:pt idx="22">
                  <c:v>110.657619242126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1D0-4DB7-B370-14947AF1D5EC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Datos!$AB$27:$AB$49</c:f>
              <c:numCache>
                <c:formatCode>0.0</c:formatCode>
                <c:ptCount val="23"/>
                <c:pt idx="0">
                  <c:v>98.153238939938404</c:v>
                </c:pt>
                <c:pt idx="1">
                  <c:v>97.287869969657095</c:v>
                </c:pt>
                <c:pt idx="2">
                  <c:v>96.925989319579102</c:v>
                </c:pt>
                <c:pt idx="3">
                  <c:v>95.765867985794699</c:v>
                </c:pt>
                <c:pt idx="4">
                  <c:v>94.324311210631393</c:v>
                </c:pt>
                <c:pt idx="5">
                  <c:v>81.212662193513395</c:v>
                </c:pt>
                <c:pt idx="6">
                  <c:v>83.7562330301282</c:v>
                </c:pt>
                <c:pt idx="7">
                  <c:v>88.093259552929297</c:v>
                </c:pt>
                <c:pt idx="8">
                  <c:v>92.220761212100399</c:v>
                </c:pt>
                <c:pt idx="9">
                  <c:v>93.571871643158005</c:v>
                </c:pt>
                <c:pt idx="10">
                  <c:v>93.035672987045004</c:v>
                </c:pt>
                <c:pt idx="11">
                  <c:v>93.711209962782505</c:v>
                </c:pt>
                <c:pt idx="12">
                  <c:v>97.498218980039397</c:v>
                </c:pt>
                <c:pt idx="13">
                  <c:v>101.634572885145</c:v>
                </c:pt>
                <c:pt idx="14">
                  <c:v>104.33924013237301</c:v>
                </c:pt>
                <c:pt idx="15">
                  <c:v>105.67010501218</c:v>
                </c:pt>
                <c:pt idx="16">
                  <c:v>105.641081727287</c:v>
                </c:pt>
                <c:pt idx="17">
                  <c:v>105.322267450022</c:v>
                </c:pt>
                <c:pt idx="18">
                  <c:v>105.603223305356</c:v>
                </c:pt>
                <c:pt idx="19">
                  <c:v>105.865080935636</c:v>
                </c:pt>
                <c:pt idx="20">
                  <c:v>105.801756631815</c:v>
                </c:pt>
                <c:pt idx="21">
                  <c:v>107.423706342364</c:v>
                </c:pt>
                <c:pt idx="22">
                  <c:v>110.005591169092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1D0-4DB7-B370-14947AF1D5E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91982848"/>
        <c:axId val="191979320"/>
      </c:lineChart>
      <c:catAx>
        <c:axId val="19198284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979320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191979320"/>
        <c:scaling>
          <c:orientation val="minMax"/>
          <c:max val="120"/>
          <c:min val="8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982848"/>
        <c:crosses val="autoZero"/>
        <c:crossBetween val="between"/>
        <c:majorUnit val="10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482777777777772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Datos!$AC$27:$AC$49</c:f>
              <c:numCache>
                <c:formatCode>0.0</c:formatCode>
                <c:ptCount val="23"/>
                <c:pt idx="0">
                  <c:v>100.31253954025</c:v>
                </c:pt>
                <c:pt idx="1">
                  <c:v>101.363651539145</c:v>
                </c:pt>
                <c:pt idx="2">
                  <c:v>100.801871775653</c:v>
                </c:pt>
                <c:pt idx="3">
                  <c:v>99.844403667453804</c:v>
                </c:pt>
                <c:pt idx="4">
                  <c:v>96.984116148144693</c:v>
                </c:pt>
                <c:pt idx="5">
                  <c:v>82.798193438017407</c:v>
                </c:pt>
                <c:pt idx="6">
                  <c:v>93.276641327967496</c:v>
                </c:pt>
                <c:pt idx="7">
                  <c:v>97.625760839099996</c:v>
                </c:pt>
                <c:pt idx="8">
                  <c:v>97.694051378470803</c:v>
                </c:pt>
                <c:pt idx="9">
                  <c:v>97.841876419148804</c:v>
                </c:pt>
                <c:pt idx="10">
                  <c:v>97.155504767738705</c:v>
                </c:pt>
                <c:pt idx="11">
                  <c:v>97.957949296304903</c:v>
                </c:pt>
                <c:pt idx="12">
                  <c:v>100.33844709510799</c:v>
                </c:pt>
                <c:pt idx="13">
                  <c:v>101.23193772629899</c:v>
                </c:pt>
                <c:pt idx="14">
                  <c:v>103.31735130097</c:v>
                </c:pt>
                <c:pt idx="15">
                  <c:v>104.4102130661</c:v>
                </c:pt>
                <c:pt idx="16">
                  <c:v>103.404362494948</c:v>
                </c:pt>
                <c:pt idx="17">
                  <c:v>103.912853030346</c:v>
                </c:pt>
                <c:pt idx="18">
                  <c:v>104.700924773124</c:v>
                </c:pt>
                <c:pt idx="19">
                  <c:v>105.70970300696</c:v>
                </c:pt>
                <c:pt idx="20">
                  <c:v>104.734514433754</c:v>
                </c:pt>
                <c:pt idx="21">
                  <c:v>104.75573835052801</c:v>
                </c:pt>
                <c:pt idx="22">
                  <c:v>104.655287493553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3CB-4D36-83A7-4E3D1E4952AB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Datos!$AD$27:$AD$49</c:f>
              <c:numCache>
                <c:formatCode>0.0</c:formatCode>
                <c:ptCount val="23"/>
                <c:pt idx="0">
                  <c:v>100.384907698097</c:v>
                </c:pt>
                <c:pt idx="1">
                  <c:v>101.139919460868</c:v>
                </c:pt>
                <c:pt idx="2">
                  <c:v>100.80706020489001</c:v>
                </c:pt>
                <c:pt idx="3">
                  <c:v>99.977787670009505</c:v>
                </c:pt>
                <c:pt idx="4">
                  <c:v>96.900076760776102</c:v>
                </c:pt>
                <c:pt idx="5">
                  <c:v>96.949541826843401</c:v>
                </c:pt>
                <c:pt idx="6">
                  <c:v>97.266959951464003</c:v>
                </c:pt>
                <c:pt idx="7">
                  <c:v>97.593397869766505</c:v>
                </c:pt>
                <c:pt idx="8">
                  <c:v>97.785132944761898</c:v>
                </c:pt>
                <c:pt idx="9">
                  <c:v>97.604213393363295</c:v>
                </c:pt>
                <c:pt idx="10">
                  <c:v>97.340203727798993</c:v>
                </c:pt>
                <c:pt idx="11">
                  <c:v>98.095089253279596</c:v>
                </c:pt>
                <c:pt idx="12">
                  <c:v>99.806110023194904</c:v>
                </c:pt>
                <c:pt idx="13">
                  <c:v>101.608958495297</c:v>
                </c:pt>
                <c:pt idx="14">
                  <c:v>103.249962384939</c:v>
                </c:pt>
                <c:pt idx="15">
                  <c:v>103.965244577986</c:v>
                </c:pt>
                <c:pt idx="16">
                  <c:v>103.733248461446</c:v>
                </c:pt>
                <c:pt idx="17">
                  <c:v>103.898462495205</c:v>
                </c:pt>
                <c:pt idx="18">
                  <c:v>104.673359304819</c:v>
                </c:pt>
                <c:pt idx="19">
                  <c:v>104.98273186257499</c:v>
                </c:pt>
                <c:pt idx="20">
                  <c:v>104.853669277487</c:v>
                </c:pt>
                <c:pt idx="21">
                  <c:v>104.66095333545</c:v>
                </c:pt>
                <c:pt idx="22">
                  <c:v>104.740844579219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3CB-4D36-83A7-4E3D1E4952A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91985592"/>
        <c:axId val="191980104"/>
      </c:lineChart>
      <c:catAx>
        <c:axId val="1919855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980104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191980104"/>
        <c:scaling>
          <c:orientation val="minMax"/>
          <c:max val="110"/>
          <c:min val="8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985592"/>
        <c:crosses val="autoZero"/>
        <c:crossBetween val="between"/>
        <c:majorUnit val="10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4493919953874319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Datos!$AE$27:$AE$49</c:f>
              <c:numCache>
                <c:formatCode>0.0</c:formatCode>
                <c:ptCount val="23"/>
                <c:pt idx="0">
                  <c:v>99.238430750232297</c:v>
                </c:pt>
                <c:pt idx="1">
                  <c:v>98.181950815135906</c:v>
                </c:pt>
                <c:pt idx="2">
                  <c:v>98.369184006207703</c:v>
                </c:pt>
                <c:pt idx="3">
                  <c:v>98.272688794642903</c:v>
                </c:pt>
                <c:pt idx="4">
                  <c:v>100.579601807891</c:v>
                </c:pt>
                <c:pt idx="5">
                  <c:v>77.244416248067907</c:v>
                </c:pt>
                <c:pt idx="6">
                  <c:v>90.469066752901</c:v>
                </c:pt>
                <c:pt idx="7">
                  <c:v>95.915861349616804</c:v>
                </c:pt>
                <c:pt idx="8">
                  <c:v>94.873163112693106</c:v>
                </c:pt>
                <c:pt idx="9">
                  <c:v>96.624753953830194</c:v>
                </c:pt>
                <c:pt idx="10">
                  <c:v>96.311096478575706</c:v>
                </c:pt>
                <c:pt idx="11">
                  <c:v>98.342099150141607</c:v>
                </c:pt>
                <c:pt idx="12">
                  <c:v>98.643021336676796</c:v>
                </c:pt>
                <c:pt idx="13">
                  <c:v>98.458391872084704</c:v>
                </c:pt>
                <c:pt idx="14">
                  <c:v>99.310464420237196</c:v>
                </c:pt>
                <c:pt idx="15">
                  <c:v>99.571794439365405</c:v>
                </c:pt>
                <c:pt idx="16">
                  <c:v>99.583218567878902</c:v>
                </c:pt>
                <c:pt idx="17">
                  <c:v>102.63914411862901</c:v>
                </c:pt>
                <c:pt idx="18">
                  <c:v>101.834199799316</c:v>
                </c:pt>
                <c:pt idx="19">
                  <c:v>102.311054292853</c:v>
                </c:pt>
                <c:pt idx="20">
                  <c:v>103.203957592142</c:v>
                </c:pt>
                <c:pt idx="21">
                  <c:v>103.42993854138101</c:v>
                </c:pt>
                <c:pt idx="22">
                  <c:v>104.44670788298799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117-48CC-BF15-B493638353FD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Datos!$AF$27:$AF$49</c:f>
              <c:numCache>
                <c:formatCode>0.0</c:formatCode>
                <c:ptCount val="23"/>
                <c:pt idx="0">
                  <c:v>98.936754945481894</c:v>
                </c:pt>
                <c:pt idx="1">
                  <c:v>98.457267525809797</c:v>
                </c:pt>
                <c:pt idx="2">
                  <c:v>98.0597219737556</c:v>
                </c:pt>
                <c:pt idx="3">
                  <c:v>98.7643133707505</c:v>
                </c:pt>
                <c:pt idx="4">
                  <c:v>100.18060572672999</c:v>
                </c:pt>
                <c:pt idx="5">
                  <c:v>95.364258439822706</c:v>
                </c:pt>
                <c:pt idx="6">
                  <c:v>95.798308439349896</c:v>
                </c:pt>
                <c:pt idx="7">
                  <c:v>95.580835348284495</c:v>
                </c:pt>
                <c:pt idx="8">
                  <c:v>95.472658618470106</c:v>
                </c:pt>
                <c:pt idx="9">
                  <c:v>95.825728539823103</c:v>
                </c:pt>
                <c:pt idx="10">
                  <c:v>96.866320267948794</c:v>
                </c:pt>
                <c:pt idx="11">
                  <c:v>97.968537952953</c:v>
                </c:pt>
                <c:pt idx="12">
                  <c:v>98.622533061201295</c:v>
                </c:pt>
                <c:pt idx="13">
                  <c:v>98.6896634186527</c:v>
                </c:pt>
                <c:pt idx="14">
                  <c:v>99.136379152165603</c:v>
                </c:pt>
                <c:pt idx="15">
                  <c:v>99.552044536848001</c:v>
                </c:pt>
                <c:pt idx="16">
                  <c:v>100.241876304819</c:v>
                </c:pt>
                <c:pt idx="17">
                  <c:v>101.27178103646899</c:v>
                </c:pt>
                <c:pt idx="18">
                  <c:v>101.930311591582</c:v>
                </c:pt>
                <c:pt idx="19">
                  <c:v>102.405880267074</c:v>
                </c:pt>
                <c:pt idx="20">
                  <c:v>103.017404026189</c:v>
                </c:pt>
                <c:pt idx="21">
                  <c:v>103.645884650997</c:v>
                </c:pt>
                <c:pt idx="22">
                  <c:v>104.25276898073901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117-48CC-BF15-B493638353F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91983240"/>
        <c:axId val="191979712"/>
      </c:lineChart>
      <c:catAx>
        <c:axId val="1919832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65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979712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191979712"/>
        <c:scaling>
          <c:orientation val="minMax"/>
          <c:max val="110"/>
          <c:min val="7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983240"/>
        <c:crosses val="autoZero"/>
        <c:crossBetween val="between"/>
        <c:majorUnit val="10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738958333333335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Datos!$AG$27:$AG$49</c:f>
              <c:numCache>
                <c:formatCode>0.0</c:formatCode>
                <c:ptCount val="23"/>
                <c:pt idx="0">
                  <c:v>101.01615246316101</c:v>
                </c:pt>
                <c:pt idx="1">
                  <c:v>98.385917942747</c:v>
                </c:pt>
                <c:pt idx="2">
                  <c:v>101.193523083481</c:v>
                </c:pt>
                <c:pt idx="3">
                  <c:v>100.446934635872</c:v>
                </c:pt>
                <c:pt idx="4">
                  <c:v>100.75094572147999</c:v>
                </c:pt>
                <c:pt idx="5">
                  <c:v>84.936269250093105</c:v>
                </c:pt>
                <c:pt idx="6">
                  <c:v>96.194319728343203</c:v>
                </c:pt>
                <c:pt idx="7">
                  <c:v>97.796103718591198</c:v>
                </c:pt>
                <c:pt idx="8">
                  <c:v>98.488102599754797</c:v>
                </c:pt>
                <c:pt idx="9">
                  <c:v>98.571676971291794</c:v>
                </c:pt>
                <c:pt idx="10">
                  <c:v>100.10036311544501</c:v>
                </c:pt>
                <c:pt idx="11">
                  <c:v>99.300637111951403</c:v>
                </c:pt>
                <c:pt idx="12">
                  <c:v>99.939978161977507</c:v>
                </c:pt>
                <c:pt idx="13">
                  <c:v>103.5160418871</c:v>
                </c:pt>
                <c:pt idx="14">
                  <c:v>102.17002624887699</c:v>
                </c:pt>
                <c:pt idx="15">
                  <c:v>105.072678688892</c:v>
                </c:pt>
                <c:pt idx="16">
                  <c:v>106.816263286298</c:v>
                </c:pt>
                <c:pt idx="17">
                  <c:v>106.607971499097</c:v>
                </c:pt>
                <c:pt idx="18">
                  <c:v>106.53811884983899</c:v>
                </c:pt>
                <c:pt idx="19">
                  <c:v>107.33909101873201</c:v>
                </c:pt>
                <c:pt idx="20">
                  <c:v>105.966461604218</c:v>
                </c:pt>
                <c:pt idx="21">
                  <c:v>107.636572076897</c:v>
                </c:pt>
                <c:pt idx="22">
                  <c:v>108.680459554561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47D-4C1B-AF44-291EA831B5EF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Datos!$AH$27:$AH$49</c:f>
              <c:numCache>
                <c:formatCode>0.0</c:formatCode>
                <c:ptCount val="23"/>
                <c:pt idx="0">
                  <c:v>100.76023821329601</c:v>
                </c:pt>
                <c:pt idx="1">
                  <c:v>100.450814228881</c:v>
                </c:pt>
                <c:pt idx="2">
                  <c:v>100.61592070128501</c:v>
                </c:pt>
                <c:pt idx="3">
                  <c:v>100.67208410313199</c:v>
                </c:pt>
                <c:pt idx="4">
                  <c:v>100.92857707857701</c:v>
                </c:pt>
                <c:pt idx="5">
                  <c:v>95.573624535562004</c:v>
                </c:pt>
                <c:pt idx="6">
                  <c:v>96.534214814969005</c:v>
                </c:pt>
                <c:pt idx="7">
                  <c:v>97.610479948770802</c:v>
                </c:pt>
                <c:pt idx="8">
                  <c:v>98.359446343326496</c:v>
                </c:pt>
                <c:pt idx="9">
                  <c:v>98.999538035112195</c:v>
                </c:pt>
                <c:pt idx="10">
                  <c:v>99.546653096039293</c:v>
                </c:pt>
                <c:pt idx="11">
                  <c:v>99.591506596343805</c:v>
                </c:pt>
                <c:pt idx="12">
                  <c:v>100.063418371151</c:v>
                </c:pt>
                <c:pt idx="13">
                  <c:v>101.58632714075399</c:v>
                </c:pt>
                <c:pt idx="14">
                  <c:v>103.25227461993801</c:v>
                </c:pt>
                <c:pt idx="15">
                  <c:v>105.125048299798</c:v>
                </c:pt>
                <c:pt idx="16">
                  <c:v>106.537809415903</c:v>
                </c:pt>
                <c:pt idx="17">
                  <c:v>106.707679634374</c:v>
                </c:pt>
                <c:pt idx="18">
                  <c:v>106.81053786853801</c:v>
                </c:pt>
                <c:pt idx="19">
                  <c:v>106.75212854377099</c:v>
                </c:pt>
                <c:pt idx="20">
                  <c:v>106.65620744482</c:v>
                </c:pt>
                <c:pt idx="21">
                  <c:v>107.408786381089</c:v>
                </c:pt>
                <c:pt idx="22">
                  <c:v>108.48781480802199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47D-4C1B-AF44-291EA831B5E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91978928"/>
        <c:axId val="191980496"/>
      </c:lineChart>
      <c:catAx>
        <c:axId val="19197892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980496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191980496"/>
        <c:scaling>
          <c:orientation val="minMax"/>
          <c:max val="110"/>
          <c:min val="80"/>
        </c:scaling>
        <c:delete val="0"/>
        <c:axPos val="l"/>
        <c:majorGridlines>
          <c:spPr>
            <a:ln w="3175">
              <a:solidFill>
                <a:srgbClr val="8696A2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978928"/>
        <c:crosses val="autoZero"/>
        <c:crossBetween val="between"/>
        <c:majorUnit val="10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738958333333335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Datos!$AI$27:$AI$49</c:f>
              <c:numCache>
                <c:formatCode>0.0</c:formatCode>
                <c:ptCount val="23"/>
                <c:pt idx="0">
                  <c:v>99.443442372238593</c:v>
                </c:pt>
                <c:pt idx="1">
                  <c:v>99.179854243676402</c:v>
                </c:pt>
                <c:pt idx="2">
                  <c:v>98.870672749911407</c:v>
                </c:pt>
                <c:pt idx="3">
                  <c:v>97.8921416148481</c:v>
                </c:pt>
                <c:pt idx="4">
                  <c:v>96.588457163146998</c:v>
                </c:pt>
                <c:pt idx="5">
                  <c:v>78.464998844544695</c:v>
                </c:pt>
                <c:pt idx="6">
                  <c:v>91.171275782824907</c:v>
                </c:pt>
                <c:pt idx="7">
                  <c:v>93.329676768917693</c:v>
                </c:pt>
                <c:pt idx="8">
                  <c:v>95.2086887102529</c:v>
                </c:pt>
                <c:pt idx="9">
                  <c:v>94.237003917707398</c:v>
                </c:pt>
                <c:pt idx="10">
                  <c:v>94.142630710645903</c:v>
                </c:pt>
                <c:pt idx="11">
                  <c:v>98.037025643077101</c:v>
                </c:pt>
                <c:pt idx="12">
                  <c:v>94.4138361128052</c:v>
                </c:pt>
                <c:pt idx="13">
                  <c:v>95.434947185482898</c:v>
                </c:pt>
                <c:pt idx="14">
                  <c:v>95.941692142106902</c:v>
                </c:pt>
                <c:pt idx="15">
                  <c:v>97.085854789051794</c:v>
                </c:pt>
                <c:pt idx="16">
                  <c:v>98.048570755244995</c:v>
                </c:pt>
                <c:pt idx="17">
                  <c:v>97.013574912120305</c:v>
                </c:pt>
                <c:pt idx="18">
                  <c:v>97.859593174402605</c:v>
                </c:pt>
                <c:pt idx="19">
                  <c:v>97.362939313395501</c:v>
                </c:pt>
                <c:pt idx="20">
                  <c:v>97.715595497623895</c:v>
                </c:pt>
                <c:pt idx="21">
                  <c:v>99.998746672280106</c:v>
                </c:pt>
                <c:pt idx="22">
                  <c:v>100.176571646208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557-4750-8A16-2090AF5ADCAF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Datos!$AJ$27:$AJ$49</c:f>
              <c:numCache>
                <c:formatCode>0.0</c:formatCode>
                <c:ptCount val="23"/>
                <c:pt idx="0">
                  <c:v>99.371086694317299</c:v>
                </c:pt>
                <c:pt idx="1">
                  <c:v>99.227019570593797</c:v>
                </c:pt>
                <c:pt idx="2">
                  <c:v>98.799599307198505</c:v>
                </c:pt>
                <c:pt idx="3">
                  <c:v>97.764224413260493</c:v>
                </c:pt>
                <c:pt idx="4">
                  <c:v>96.887677804863898</c:v>
                </c:pt>
                <c:pt idx="5">
                  <c:v>90.660669889516797</c:v>
                </c:pt>
                <c:pt idx="6">
                  <c:v>91.519928077511196</c:v>
                </c:pt>
                <c:pt idx="7">
                  <c:v>93.246749292138603</c:v>
                </c:pt>
                <c:pt idx="8">
                  <c:v>94.539393866091899</c:v>
                </c:pt>
                <c:pt idx="9">
                  <c:v>94.452281618724101</c:v>
                </c:pt>
                <c:pt idx="10">
                  <c:v>94.128886545060993</c:v>
                </c:pt>
                <c:pt idx="11">
                  <c:v>94.176830442344993</c:v>
                </c:pt>
                <c:pt idx="12">
                  <c:v>94.571408135098494</c:v>
                </c:pt>
                <c:pt idx="13">
                  <c:v>95.250146612904302</c:v>
                </c:pt>
                <c:pt idx="14">
                  <c:v>96.086390085206105</c:v>
                </c:pt>
                <c:pt idx="15">
                  <c:v>97.137214477248804</c:v>
                </c:pt>
                <c:pt idx="16">
                  <c:v>97.717911204276305</c:v>
                </c:pt>
                <c:pt idx="17">
                  <c:v>97.701755226561204</c:v>
                </c:pt>
                <c:pt idx="18">
                  <c:v>97.549443328215304</c:v>
                </c:pt>
                <c:pt idx="19">
                  <c:v>97.441150375610505</c:v>
                </c:pt>
                <c:pt idx="20">
                  <c:v>98.0172194840477</c:v>
                </c:pt>
                <c:pt idx="21">
                  <c:v>99.388898283839495</c:v>
                </c:pt>
                <c:pt idx="22">
                  <c:v>100.302851278798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557-4750-8A16-2090AF5ADCA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91980888"/>
        <c:axId val="191982456"/>
      </c:lineChart>
      <c:catAx>
        <c:axId val="19198088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982456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191982456"/>
        <c:scaling>
          <c:orientation val="minMax"/>
          <c:max val="103"/>
          <c:min val="70"/>
        </c:scaling>
        <c:delete val="0"/>
        <c:axPos val="l"/>
        <c:majorGridlines>
          <c:spPr>
            <a:ln w="3175">
              <a:solidFill>
                <a:srgbClr val="8696A2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980888"/>
        <c:crosses val="autoZero"/>
        <c:crossBetween val="between"/>
        <c:majorUnit val="10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738958333333335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Datos!$AK$27:$AK$49</c:f>
              <c:numCache>
                <c:formatCode>0.0</c:formatCode>
                <c:ptCount val="23"/>
                <c:pt idx="0">
                  <c:v>102.013708173886</c:v>
                </c:pt>
                <c:pt idx="1">
                  <c:v>100.81775895040001</c:v>
                </c:pt>
                <c:pt idx="2">
                  <c:v>98.920196560956697</c:v>
                </c:pt>
                <c:pt idx="3">
                  <c:v>100.435335404795</c:v>
                </c:pt>
                <c:pt idx="4">
                  <c:v>100.040931987188</c:v>
                </c:pt>
                <c:pt idx="5">
                  <c:v>82.058377912188107</c:v>
                </c:pt>
                <c:pt idx="6">
                  <c:v>90.465838015599402</c:v>
                </c:pt>
                <c:pt idx="7">
                  <c:v>94.392963288793197</c:v>
                </c:pt>
                <c:pt idx="8">
                  <c:v>96.936797342924905</c:v>
                </c:pt>
                <c:pt idx="9">
                  <c:v>99.560670046901805</c:v>
                </c:pt>
                <c:pt idx="10">
                  <c:v>101.207708373542</c:v>
                </c:pt>
                <c:pt idx="11">
                  <c:v>102.15604300843999</c:v>
                </c:pt>
                <c:pt idx="12">
                  <c:v>100.121072890882</c:v>
                </c:pt>
                <c:pt idx="13">
                  <c:v>105.250516789945</c:v>
                </c:pt>
                <c:pt idx="14">
                  <c:v>106.10173640467499</c:v>
                </c:pt>
                <c:pt idx="15">
                  <c:v>103.09937210000599</c:v>
                </c:pt>
                <c:pt idx="16">
                  <c:v>103.691867544871</c:v>
                </c:pt>
                <c:pt idx="17">
                  <c:v>101.438811683699</c:v>
                </c:pt>
                <c:pt idx="18">
                  <c:v>104.336889859718</c:v>
                </c:pt>
                <c:pt idx="19">
                  <c:v>103.809082401463</c:v>
                </c:pt>
                <c:pt idx="20">
                  <c:v>102.547243607404</c:v>
                </c:pt>
                <c:pt idx="21">
                  <c:v>101.64403782913701</c:v>
                </c:pt>
                <c:pt idx="22">
                  <c:v>103.12448380924501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2C0-49D1-854E-A717D5FAC6CC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Datos!$AL$27:$AL$49</c:f>
              <c:numCache>
                <c:formatCode>0.0</c:formatCode>
                <c:ptCount val="23"/>
                <c:pt idx="0">
                  <c:v>101.558264208623</c:v>
                </c:pt>
                <c:pt idx="1">
                  <c:v>100.641811287929</c:v>
                </c:pt>
                <c:pt idx="2">
                  <c:v>99.613090672052195</c:v>
                </c:pt>
                <c:pt idx="3">
                  <c:v>99.825767239950395</c:v>
                </c:pt>
                <c:pt idx="4">
                  <c:v>100.390640290891</c:v>
                </c:pt>
                <c:pt idx="5">
                  <c:v>90.044159140233504</c:v>
                </c:pt>
                <c:pt idx="6">
                  <c:v>91.196152387288706</c:v>
                </c:pt>
                <c:pt idx="7">
                  <c:v>93.893103003536098</c:v>
                </c:pt>
                <c:pt idx="8">
                  <c:v>97.121847205924496</c:v>
                </c:pt>
                <c:pt idx="9">
                  <c:v>99.462645298760705</c:v>
                </c:pt>
                <c:pt idx="10">
                  <c:v>101.23346467262</c:v>
                </c:pt>
                <c:pt idx="11">
                  <c:v>101.89284561025499</c:v>
                </c:pt>
                <c:pt idx="12">
                  <c:v>102.94383644227599</c:v>
                </c:pt>
                <c:pt idx="13">
                  <c:v>105.024471742467</c:v>
                </c:pt>
                <c:pt idx="14">
                  <c:v>105.440933027188</c:v>
                </c:pt>
                <c:pt idx="15">
                  <c:v>104.02947067325699</c:v>
                </c:pt>
                <c:pt idx="16">
                  <c:v>103.140163183822</c:v>
                </c:pt>
                <c:pt idx="17">
                  <c:v>103.586692822356</c:v>
                </c:pt>
                <c:pt idx="18">
                  <c:v>104.00047047226001</c:v>
                </c:pt>
                <c:pt idx="19">
                  <c:v>103.803751585887</c:v>
                </c:pt>
                <c:pt idx="20">
                  <c:v>102.478784019255</c:v>
                </c:pt>
                <c:pt idx="21">
                  <c:v>102.00698671576301</c:v>
                </c:pt>
                <c:pt idx="22">
                  <c:v>102.94731466168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2C0-49D1-854E-A717D5FAC6C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91983632"/>
        <c:axId val="191984808"/>
      </c:lineChart>
      <c:catAx>
        <c:axId val="19198363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984808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191984808"/>
        <c:scaling>
          <c:orientation val="minMax"/>
          <c:max val="110"/>
          <c:min val="8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983632"/>
        <c:crosses val="autoZero"/>
        <c:crossBetween val="between"/>
        <c:majorUnit val="10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871636024513717E-2"/>
          <c:y val="4.3165102277752346E-2"/>
          <c:w val="0.90581803245737891"/>
          <c:h val="0.83738958333333335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Datos!$AM$27:$AM$49</c:f>
              <c:numCache>
                <c:formatCode>0.0</c:formatCode>
                <c:ptCount val="23"/>
                <c:pt idx="0">
                  <c:v>100.77624957296</c:v>
                </c:pt>
                <c:pt idx="1">
                  <c:v>100.843166477368</c:v>
                </c:pt>
                <c:pt idx="2">
                  <c:v>100.72309928060101</c:v>
                </c:pt>
                <c:pt idx="3">
                  <c:v>99.580307642948796</c:v>
                </c:pt>
                <c:pt idx="4">
                  <c:v>98.558729500097698</c:v>
                </c:pt>
                <c:pt idx="5">
                  <c:v>78.481065027145604</c:v>
                </c:pt>
                <c:pt idx="6">
                  <c:v>92.248692745343604</c:v>
                </c:pt>
                <c:pt idx="7">
                  <c:v>97.672420063093796</c:v>
                </c:pt>
                <c:pt idx="8">
                  <c:v>97.615673010982306</c:v>
                </c:pt>
                <c:pt idx="9">
                  <c:v>98.290461704131602</c:v>
                </c:pt>
                <c:pt idx="10">
                  <c:v>97.831998296258206</c:v>
                </c:pt>
                <c:pt idx="11">
                  <c:v>97.826641448652794</c:v>
                </c:pt>
                <c:pt idx="12">
                  <c:v>99.623261593390197</c:v>
                </c:pt>
                <c:pt idx="13">
                  <c:v>101.060104477921</c:v>
                </c:pt>
                <c:pt idx="14">
                  <c:v>100.98057507968301</c:v>
                </c:pt>
                <c:pt idx="15">
                  <c:v>102.247216908529</c:v>
                </c:pt>
                <c:pt idx="16">
                  <c:v>103.100188500838</c:v>
                </c:pt>
                <c:pt idx="17">
                  <c:v>103.329946137603</c:v>
                </c:pt>
                <c:pt idx="18">
                  <c:v>104.863469448629</c:v>
                </c:pt>
                <c:pt idx="19">
                  <c:v>106.474223989823</c:v>
                </c:pt>
                <c:pt idx="20">
                  <c:v>106.460488464684</c:v>
                </c:pt>
                <c:pt idx="21">
                  <c:v>106.71932270085399</c:v>
                </c:pt>
                <c:pt idx="22">
                  <c:v>110.94014716907201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F6B-4A51-BE54-F1DCD74195D6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Datos!$AN$27:$AN$49</c:f>
              <c:numCache>
                <c:formatCode>0.0</c:formatCode>
                <c:ptCount val="23"/>
                <c:pt idx="0">
                  <c:v>101.44397022577201</c:v>
                </c:pt>
                <c:pt idx="1">
                  <c:v>100.969623313729</c:v>
                </c:pt>
                <c:pt idx="2">
                  <c:v>100.45472138658501</c:v>
                </c:pt>
                <c:pt idx="3">
                  <c:v>99.596462774231796</c:v>
                </c:pt>
                <c:pt idx="4">
                  <c:v>98.610281534624505</c:v>
                </c:pt>
                <c:pt idx="5">
                  <c:v>98.058283378527804</c:v>
                </c:pt>
                <c:pt idx="6">
                  <c:v>97.828638454811696</c:v>
                </c:pt>
                <c:pt idx="7">
                  <c:v>97.639188246483201</c:v>
                </c:pt>
                <c:pt idx="8">
                  <c:v>97.796405779844306</c:v>
                </c:pt>
                <c:pt idx="9">
                  <c:v>98.035389022864095</c:v>
                </c:pt>
                <c:pt idx="10">
                  <c:v>97.856103518451903</c:v>
                </c:pt>
                <c:pt idx="11">
                  <c:v>98.097114161818496</c:v>
                </c:pt>
                <c:pt idx="12">
                  <c:v>99.5354441825463</c:v>
                </c:pt>
                <c:pt idx="13">
                  <c:v>100.84604324106</c:v>
                </c:pt>
                <c:pt idx="14">
                  <c:v>101.477537450342</c:v>
                </c:pt>
                <c:pt idx="15">
                  <c:v>102.216101009875</c:v>
                </c:pt>
                <c:pt idx="16">
                  <c:v>102.922631624158</c:v>
                </c:pt>
                <c:pt idx="17">
                  <c:v>103.580635299205</c:v>
                </c:pt>
                <c:pt idx="18">
                  <c:v>104.821811075323</c:v>
                </c:pt>
                <c:pt idx="19">
                  <c:v>105.979299579179</c:v>
                </c:pt>
                <c:pt idx="20">
                  <c:v>106.667433302597</c:v>
                </c:pt>
                <c:pt idx="21">
                  <c:v>107.904366001665</c:v>
                </c:pt>
                <c:pt idx="22">
                  <c:v>109.877144510921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F6B-4A51-BE54-F1DCD74195D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92187872"/>
        <c:axId val="192183168"/>
      </c:lineChart>
      <c:catAx>
        <c:axId val="19218787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183168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192183168"/>
        <c:scaling>
          <c:orientation val="minMax"/>
          <c:max val="120"/>
          <c:min val="7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187872"/>
        <c:crosses val="autoZero"/>
        <c:crossBetween val="between"/>
        <c:majorUnit val="10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738958333333335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Datos!$E$27:$E$49</c:f>
              <c:numCache>
                <c:formatCode>0.0</c:formatCode>
                <c:ptCount val="23"/>
                <c:pt idx="0">
                  <c:v>102.96127165306601</c:v>
                </c:pt>
                <c:pt idx="1">
                  <c:v>102.639735876877</c:v>
                </c:pt>
                <c:pt idx="2">
                  <c:v>101.82686121110901</c:v>
                </c:pt>
                <c:pt idx="3">
                  <c:v>99.199720505811101</c:v>
                </c:pt>
                <c:pt idx="4">
                  <c:v>100.407398299707</c:v>
                </c:pt>
                <c:pt idx="5">
                  <c:v>81.062442266855996</c:v>
                </c:pt>
                <c:pt idx="6">
                  <c:v>99.870997645447304</c:v>
                </c:pt>
                <c:pt idx="7">
                  <c:v>102.281506747894</c:v>
                </c:pt>
                <c:pt idx="8">
                  <c:v>101.28012452933601</c:v>
                </c:pt>
                <c:pt idx="9">
                  <c:v>101.89260151623201</c:v>
                </c:pt>
                <c:pt idx="10">
                  <c:v>101.897235348998</c:v>
                </c:pt>
                <c:pt idx="11">
                  <c:v>102.98691949156699</c:v>
                </c:pt>
                <c:pt idx="12">
                  <c:v>103.555867765591</c:v>
                </c:pt>
                <c:pt idx="13">
                  <c:v>103.425801126685</c:v>
                </c:pt>
                <c:pt idx="14">
                  <c:v>105.041295075043</c:v>
                </c:pt>
                <c:pt idx="15">
                  <c:v>105.340374200837</c:v>
                </c:pt>
                <c:pt idx="16">
                  <c:v>106.967548579411</c:v>
                </c:pt>
                <c:pt idx="17">
                  <c:v>107.13573453679101</c:v>
                </c:pt>
                <c:pt idx="18">
                  <c:v>108.23137261786199</c:v>
                </c:pt>
                <c:pt idx="19">
                  <c:v>108.722390402842</c:v>
                </c:pt>
                <c:pt idx="20">
                  <c:v>107.099971080781</c:v>
                </c:pt>
                <c:pt idx="21">
                  <c:v>111.011189603204</c:v>
                </c:pt>
                <c:pt idx="22">
                  <c:v>110.100614901114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0C8-4EC7-AE5C-1AA5D8FDC225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Datos!$F$27:$F$49</c:f>
              <c:numCache>
                <c:formatCode>0.0</c:formatCode>
                <c:ptCount val="23"/>
                <c:pt idx="0">
                  <c:v>102.35878657315</c:v>
                </c:pt>
                <c:pt idx="1">
                  <c:v>102.886881109295</c:v>
                </c:pt>
                <c:pt idx="2">
                  <c:v>101.48591792862899</c:v>
                </c:pt>
                <c:pt idx="3">
                  <c:v>100.327911992792</c:v>
                </c:pt>
                <c:pt idx="4">
                  <c:v>100.080260666078</c:v>
                </c:pt>
                <c:pt idx="5">
                  <c:v>100.07383513343601</c:v>
                </c:pt>
                <c:pt idx="6">
                  <c:v>100.53625581791501</c:v>
                </c:pt>
                <c:pt idx="7">
                  <c:v>101.394526813209</c:v>
                </c:pt>
                <c:pt idx="8">
                  <c:v>101.749145781162</c:v>
                </c:pt>
                <c:pt idx="9">
                  <c:v>101.618758723024</c:v>
                </c:pt>
                <c:pt idx="10">
                  <c:v>102.13944609196299</c:v>
                </c:pt>
                <c:pt idx="11">
                  <c:v>102.882102534178</c:v>
                </c:pt>
                <c:pt idx="12">
                  <c:v>103.363280543786</c:v>
                </c:pt>
                <c:pt idx="13">
                  <c:v>103.83012829140699</c:v>
                </c:pt>
                <c:pt idx="14">
                  <c:v>104.622287399558</c:v>
                </c:pt>
                <c:pt idx="15">
                  <c:v>105.739197518094</c:v>
                </c:pt>
                <c:pt idx="16">
                  <c:v>106.58767442348</c:v>
                </c:pt>
                <c:pt idx="17">
                  <c:v>107.423457516714</c:v>
                </c:pt>
                <c:pt idx="18">
                  <c:v>108.100163524351</c:v>
                </c:pt>
                <c:pt idx="19">
                  <c:v>108.643345226311</c:v>
                </c:pt>
                <c:pt idx="20">
                  <c:v>109.107573504114</c:v>
                </c:pt>
                <c:pt idx="21">
                  <c:v>109.74802569548601</c:v>
                </c:pt>
                <c:pt idx="22">
                  <c:v>110.23252342313999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0C8-4EC7-AE5C-1AA5D8FDC22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90000992"/>
        <c:axId val="189999816"/>
      </c:lineChart>
      <c:catAx>
        <c:axId val="1900009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89999816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189999816"/>
        <c:scaling>
          <c:orientation val="minMax"/>
          <c:max val="120"/>
          <c:min val="8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0000992"/>
        <c:crosses val="autoZero"/>
        <c:crossBetween val="between"/>
        <c:majorUnit val="10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270277777777779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Datos!$AO$27:$AO$49</c:f>
              <c:numCache>
                <c:formatCode>0.0</c:formatCode>
                <c:ptCount val="23"/>
                <c:pt idx="0">
                  <c:v>96.761934997624905</c:v>
                </c:pt>
                <c:pt idx="1">
                  <c:v>96.327647288574497</c:v>
                </c:pt>
                <c:pt idx="2">
                  <c:v>94.421006760098905</c:v>
                </c:pt>
                <c:pt idx="3">
                  <c:v>94.9280022749399</c:v>
                </c:pt>
                <c:pt idx="4">
                  <c:v>94.6868537990551</c:v>
                </c:pt>
                <c:pt idx="5">
                  <c:v>80.906343816105505</c:v>
                </c:pt>
                <c:pt idx="6">
                  <c:v>91.746038680916996</c:v>
                </c:pt>
                <c:pt idx="7">
                  <c:v>99.334310898282197</c:v>
                </c:pt>
                <c:pt idx="8">
                  <c:v>100.46115060277</c:v>
                </c:pt>
                <c:pt idx="9">
                  <c:v>100.358911027587</c:v>
                </c:pt>
                <c:pt idx="10">
                  <c:v>100.58910349783299</c:v>
                </c:pt>
                <c:pt idx="11">
                  <c:v>101.417072054277</c:v>
                </c:pt>
                <c:pt idx="12">
                  <c:v>105.958015530766</c:v>
                </c:pt>
                <c:pt idx="13">
                  <c:v>103.525957225196</c:v>
                </c:pt>
                <c:pt idx="14">
                  <c:v>109.991020626131</c:v>
                </c:pt>
                <c:pt idx="15">
                  <c:v>114.316834122003</c:v>
                </c:pt>
                <c:pt idx="16">
                  <c:v>116.01713032777199</c:v>
                </c:pt>
                <c:pt idx="17">
                  <c:v>115.384262655756</c:v>
                </c:pt>
                <c:pt idx="18">
                  <c:v>119.19629327846</c:v>
                </c:pt>
                <c:pt idx="19">
                  <c:v>117.25251286917501</c:v>
                </c:pt>
                <c:pt idx="20">
                  <c:v>118.510300852298</c:v>
                </c:pt>
                <c:pt idx="21">
                  <c:v>124.60966800967699</c:v>
                </c:pt>
                <c:pt idx="22">
                  <c:v>126.75531782910301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F45-4C2B-AEC3-443B9B705E59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Datos!$AP$27:$AP$49</c:f>
              <c:numCache>
                <c:formatCode>0.0</c:formatCode>
                <c:ptCount val="23"/>
                <c:pt idx="0">
                  <c:v>97.431235015778896</c:v>
                </c:pt>
                <c:pt idx="1">
                  <c:v>95.774586181969397</c:v>
                </c:pt>
                <c:pt idx="2">
                  <c:v>94.938500280492093</c:v>
                </c:pt>
                <c:pt idx="3">
                  <c:v>94.528672042902301</c:v>
                </c:pt>
                <c:pt idx="4">
                  <c:v>94.871789333156897</c:v>
                </c:pt>
                <c:pt idx="5">
                  <c:v>96.182283323162494</c:v>
                </c:pt>
                <c:pt idx="6">
                  <c:v>98.166256034415397</c:v>
                </c:pt>
                <c:pt idx="7">
                  <c:v>99.605911531508397</c:v>
                </c:pt>
                <c:pt idx="8">
                  <c:v>100.23121763128</c:v>
                </c:pt>
                <c:pt idx="9">
                  <c:v>100.45408414986299</c:v>
                </c:pt>
                <c:pt idx="10">
                  <c:v>100.553313756259</c:v>
                </c:pt>
                <c:pt idx="11">
                  <c:v>101.57830181280799</c:v>
                </c:pt>
                <c:pt idx="12">
                  <c:v>103.319579266766</c:v>
                </c:pt>
                <c:pt idx="13">
                  <c:v>106.013705337902</c:v>
                </c:pt>
                <c:pt idx="14">
                  <c:v>110.02295574514</c:v>
                </c:pt>
                <c:pt idx="15">
                  <c:v>114.053823548539</c:v>
                </c:pt>
                <c:pt idx="16">
                  <c:v>115.82661095222301</c:v>
                </c:pt>
                <c:pt idx="17">
                  <c:v>116.61139471702801</c:v>
                </c:pt>
                <c:pt idx="18">
                  <c:v>117.223248126907</c:v>
                </c:pt>
                <c:pt idx="19">
                  <c:v>117.502054396983</c:v>
                </c:pt>
                <c:pt idx="20">
                  <c:v>119.493185206679</c:v>
                </c:pt>
                <c:pt idx="21">
                  <c:v>123.748461794924</c:v>
                </c:pt>
                <c:pt idx="22">
                  <c:v>126.510050607827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F45-4C2B-AEC3-443B9B705E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92188656"/>
        <c:axId val="192187088"/>
      </c:lineChart>
      <c:catAx>
        <c:axId val="19218865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187088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192187088"/>
        <c:scaling>
          <c:orientation val="minMax"/>
          <c:max val="130"/>
          <c:min val="7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188656"/>
        <c:crosses val="autoZero"/>
        <c:crossBetween val="between"/>
        <c:majorUnit val="10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735207999749917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Datos!$AQ$27:$AQ$49</c:f>
              <c:numCache>
                <c:formatCode>0.0</c:formatCode>
                <c:ptCount val="23"/>
                <c:pt idx="0">
                  <c:v>101.30920940627701</c:v>
                </c:pt>
                <c:pt idx="1">
                  <c:v>101.554993779622</c:v>
                </c:pt>
                <c:pt idx="2">
                  <c:v>101.29984827405301</c:v>
                </c:pt>
                <c:pt idx="3">
                  <c:v>100.00146681170401</c:v>
                </c:pt>
                <c:pt idx="4">
                  <c:v>100.308363562164</c:v>
                </c:pt>
                <c:pt idx="5">
                  <c:v>71.774285885733903</c:v>
                </c:pt>
                <c:pt idx="6">
                  <c:v>94.423196464081897</c:v>
                </c:pt>
                <c:pt idx="7">
                  <c:v>95.940268082362294</c:v>
                </c:pt>
                <c:pt idx="8">
                  <c:v>95.433767396643304</c:v>
                </c:pt>
                <c:pt idx="9">
                  <c:v>93.386807065082905</c:v>
                </c:pt>
                <c:pt idx="10">
                  <c:v>92.763556174482602</c:v>
                </c:pt>
                <c:pt idx="11">
                  <c:v>92.770101687780496</c:v>
                </c:pt>
                <c:pt idx="12">
                  <c:v>94.579326725120893</c:v>
                </c:pt>
                <c:pt idx="13">
                  <c:v>96.359945756092998</c:v>
                </c:pt>
                <c:pt idx="14">
                  <c:v>98.759376837728297</c:v>
                </c:pt>
                <c:pt idx="15">
                  <c:v>99.123788847687294</c:v>
                </c:pt>
                <c:pt idx="16">
                  <c:v>98.383243516772694</c:v>
                </c:pt>
                <c:pt idx="17">
                  <c:v>100.01298599972</c:v>
                </c:pt>
                <c:pt idx="18">
                  <c:v>100.186160940447</c:v>
                </c:pt>
                <c:pt idx="19">
                  <c:v>101.18401575487199</c:v>
                </c:pt>
                <c:pt idx="20">
                  <c:v>102.104091076771</c:v>
                </c:pt>
                <c:pt idx="21">
                  <c:v>104.435021293283</c:v>
                </c:pt>
                <c:pt idx="22">
                  <c:v>105.73596325477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D77-4B66-A8CE-A61E55F9F7BF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Datos!$AR$27:$AR$49</c:f>
              <c:numCache>
                <c:formatCode>0.0</c:formatCode>
                <c:ptCount val="23"/>
                <c:pt idx="0">
                  <c:v>101.171570387122</c:v>
                </c:pt>
                <c:pt idx="1">
                  <c:v>101.60468292423199</c:v>
                </c:pt>
                <c:pt idx="2">
                  <c:v>101.06555727686199</c:v>
                </c:pt>
                <c:pt idx="3">
                  <c:v>100.277469020051</c:v>
                </c:pt>
                <c:pt idx="4">
                  <c:v>100.292489559594</c:v>
                </c:pt>
                <c:pt idx="5">
                  <c:v>93.8836874227528</c:v>
                </c:pt>
                <c:pt idx="6">
                  <c:v>94.772064739575896</c:v>
                </c:pt>
                <c:pt idx="7">
                  <c:v>95.673783778196906</c:v>
                </c:pt>
                <c:pt idx="8">
                  <c:v>95.251101033734102</c:v>
                </c:pt>
                <c:pt idx="9">
                  <c:v>93.6627501580938</c:v>
                </c:pt>
                <c:pt idx="10">
                  <c:v>92.619141072030402</c:v>
                </c:pt>
                <c:pt idx="11">
                  <c:v>92.990687497786297</c:v>
                </c:pt>
                <c:pt idx="12">
                  <c:v>94.397324014154904</c:v>
                </c:pt>
                <c:pt idx="13">
                  <c:v>96.602345171361506</c:v>
                </c:pt>
                <c:pt idx="14">
                  <c:v>98.437917231309996</c:v>
                </c:pt>
                <c:pt idx="15">
                  <c:v>99.170131288862194</c:v>
                </c:pt>
                <c:pt idx="16">
                  <c:v>99.363652762263001</c:v>
                </c:pt>
                <c:pt idx="17">
                  <c:v>99.797715481770894</c:v>
                </c:pt>
                <c:pt idx="18">
                  <c:v>100.361622985571</c:v>
                </c:pt>
                <c:pt idx="19">
                  <c:v>101.00844593382099</c:v>
                </c:pt>
                <c:pt idx="20">
                  <c:v>102.39261914765299</c:v>
                </c:pt>
                <c:pt idx="21">
                  <c:v>104.203440650338</c:v>
                </c:pt>
                <c:pt idx="22">
                  <c:v>105.73769100550901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D77-4B66-A8CE-A61E55F9F7B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92182776"/>
        <c:axId val="192189048"/>
      </c:lineChart>
      <c:catAx>
        <c:axId val="19218277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189048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192189048"/>
        <c:scaling>
          <c:orientation val="minMax"/>
          <c:max val="110"/>
          <c:min val="7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182776"/>
        <c:crosses val="autoZero"/>
        <c:crossBetween val="between"/>
        <c:majorUnit val="10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738958333333335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Datos!$AS$27:$AS$49</c:f>
              <c:numCache>
                <c:formatCode>0.0</c:formatCode>
                <c:ptCount val="23"/>
                <c:pt idx="0">
                  <c:v>99.948875092768006</c:v>
                </c:pt>
                <c:pt idx="1">
                  <c:v>100.248349594364</c:v>
                </c:pt>
                <c:pt idx="2">
                  <c:v>99.445674956854504</c:v>
                </c:pt>
                <c:pt idx="3">
                  <c:v>98.6889639701417</c:v>
                </c:pt>
                <c:pt idx="4">
                  <c:v>98.135396898760504</c:v>
                </c:pt>
                <c:pt idx="5">
                  <c:v>78.774408991132105</c:v>
                </c:pt>
                <c:pt idx="6">
                  <c:v>90.506630437992698</c:v>
                </c:pt>
                <c:pt idx="7">
                  <c:v>95.293048442971795</c:v>
                </c:pt>
                <c:pt idx="8">
                  <c:v>95.361610290488002</c:v>
                </c:pt>
                <c:pt idx="9">
                  <c:v>94.305757293814693</c:v>
                </c:pt>
                <c:pt idx="10">
                  <c:v>94.558679673970403</c:v>
                </c:pt>
                <c:pt idx="11">
                  <c:v>93.235019657744701</c:v>
                </c:pt>
                <c:pt idx="12">
                  <c:v>93.720672105546498</c:v>
                </c:pt>
                <c:pt idx="13">
                  <c:v>97.204389807009207</c:v>
                </c:pt>
                <c:pt idx="14">
                  <c:v>95.874179532878401</c:v>
                </c:pt>
                <c:pt idx="15">
                  <c:v>97.327482652277794</c:v>
                </c:pt>
                <c:pt idx="16">
                  <c:v>98.099633985414101</c:v>
                </c:pt>
                <c:pt idx="17">
                  <c:v>98.784552493658495</c:v>
                </c:pt>
                <c:pt idx="18">
                  <c:v>100.78026507547099</c:v>
                </c:pt>
                <c:pt idx="19">
                  <c:v>102.085799345289</c:v>
                </c:pt>
                <c:pt idx="20">
                  <c:v>101.702296301058</c:v>
                </c:pt>
                <c:pt idx="21">
                  <c:v>102.707903362412</c:v>
                </c:pt>
                <c:pt idx="22">
                  <c:v>103.173693310183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39-4A04-AEBD-97ADFA4DC594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Datos!$AT$27:$AT$49</c:f>
              <c:numCache>
                <c:formatCode>0.0</c:formatCode>
                <c:ptCount val="23"/>
                <c:pt idx="0">
                  <c:v>99.940651400341693</c:v>
                </c:pt>
                <c:pt idx="1">
                  <c:v>100.093941842025</c:v>
                </c:pt>
                <c:pt idx="2">
                  <c:v>99.518435736689298</c:v>
                </c:pt>
                <c:pt idx="3">
                  <c:v>98.722828824963898</c:v>
                </c:pt>
                <c:pt idx="4">
                  <c:v>98.154231315122601</c:v>
                </c:pt>
                <c:pt idx="5">
                  <c:v>97.358634083134604</c:v>
                </c:pt>
                <c:pt idx="6">
                  <c:v>96.209759913775002</c:v>
                </c:pt>
                <c:pt idx="7">
                  <c:v>95.481150298950297</c:v>
                </c:pt>
                <c:pt idx="8">
                  <c:v>95.047686078111894</c:v>
                </c:pt>
                <c:pt idx="9">
                  <c:v>94.630827560638096</c:v>
                </c:pt>
                <c:pt idx="10">
                  <c:v>93.967323142674701</c:v>
                </c:pt>
                <c:pt idx="11">
                  <c:v>93.468761421000494</c:v>
                </c:pt>
                <c:pt idx="12">
                  <c:v>93.957562316370101</c:v>
                </c:pt>
                <c:pt idx="13">
                  <c:v>95.378745354317005</c:v>
                </c:pt>
                <c:pt idx="14">
                  <c:v>96.498908611746899</c:v>
                </c:pt>
                <c:pt idx="15">
                  <c:v>97.284682028560496</c:v>
                </c:pt>
                <c:pt idx="16">
                  <c:v>98.005047145054803</c:v>
                </c:pt>
                <c:pt idx="17">
                  <c:v>99.034129364163704</c:v>
                </c:pt>
                <c:pt idx="18">
                  <c:v>100.706683323535</c:v>
                </c:pt>
                <c:pt idx="19">
                  <c:v>101.786438733906</c:v>
                </c:pt>
                <c:pt idx="20">
                  <c:v>102.069948634676</c:v>
                </c:pt>
                <c:pt idx="21">
                  <c:v>102.511824527521</c:v>
                </c:pt>
                <c:pt idx="22">
                  <c:v>103.240466777335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39-4A04-AEBD-97ADFA4DC59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92186304"/>
        <c:axId val="192183560"/>
      </c:lineChart>
      <c:catAx>
        <c:axId val="19218630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183560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192183560"/>
        <c:scaling>
          <c:orientation val="minMax"/>
          <c:max val="110"/>
          <c:min val="7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186304"/>
        <c:crosses val="autoZero"/>
        <c:crossBetween val="between"/>
        <c:majorUnit val="10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871636024513717E-2"/>
          <c:y val="4.3165079365079365E-2"/>
          <c:w val="0.90581803245737891"/>
          <c:h val="0.83270277777777779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Datos!$AU$27:$AU$49</c:f>
              <c:numCache>
                <c:formatCode>0.0</c:formatCode>
                <c:ptCount val="23"/>
                <c:pt idx="0">
                  <c:v>100.83245434267801</c:v>
                </c:pt>
                <c:pt idx="1">
                  <c:v>99.449282614494393</c:v>
                </c:pt>
                <c:pt idx="2">
                  <c:v>98.1548478971512</c:v>
                </c:pt>
                <c:pt idx="3">
                  <c:v>100.761050461777</c:v>
                </c:pt>
                <c:pt idx="4">
                  <c:v>102.321658161152</c:v>
                </c:pt>
                <c:pt idx="5">
                  <c:v>62.172302933506899</c:v>
                </c:pt>
                <c:pt idx="6">
                  <c:v>71.243964405900996</c:v>
                </c:pt>
                <c:pt idx="7">
                  <c:v>78.372544550467296</c:v>
                </c:pt>
                <c:pt idx="8">
                  <c:v>81.964553348372107</c:v>
                </c:pt>
                <c:pt idx="9">
                  <c:v>87.810697271919807</c:v>
                </c:pt>
                <c:pt idx="10">
                  <c:v>91.497380201476503</c:v>
                </c:pt>
                <c:pt idx="11">
                  <c:v>91.626939749412799</c:v>
                </c:pt>
                <c:pt idx="12">
                  <c:v>90.405842403435003</c:v>
                </c:pt>
                <c:pt idx="13">
                  <c:v>92.141034876141504</c:v>
                </c:pt>
                <c:pt idx="14">
                  <c:v>95.691268224906807</c:v>
                </c:pt>
                <c:pt idx="15">
                  <c:v>98.491528189061299</c:v>
                </c:pt>
                <c:pt idx="16">
                  <c:v>90.385933599418706</c:v>
                </c:pt>
                <c:pt idx="17">
                  <c:v>99.632867515724797</c:v>
                </c:pt>
                <c:pt idx="18">
                  <c:v>119.001381043954</c:v>
                </c:pt>
                <c:pt idx="19">
                  <c:v>122.547981476609</c:v>
                </c:pt>
                <c:pt idx="20">
                  <c:v>104.62241781477699</c:v>
                </c:pt>
                <c:pt idx="21">
                  <c:v>105.621264012696</c:v>
                </c:pt>
                <c:pt idx="22">
                  <c:v>103.057813431127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A9B-403E-89C9-32E7DBCB30D7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Datos!$AV$27:$AV$49</c:f>
              <c:numCache>
                <c:formatCode>0.0</c:formatCode>
                <c:ptCount val="23"/>
                <c:pt idx="0">
                  <c:v>100.421012763283</c:v>
                </c:pt>
                <c:pt idx="1">
                  <c:v>99.345734150589294</c:v>
                </c:pt>
                <c:pt idx="2">
                  <c:v>98.820543923692298</c:v>
                </c:pt>
                <c:pt idx="3">
                  <c:v>100.299367155547</c:v>
                </c:pt>
                <c:pt idx="4">
                  <c:v>102.50528263925899</c:v>
                </c:pt>
                <c:pt idx="5">
                  <c:v>76.307892265765901</c:v>
                </c:pt>
                <c:pt idx="6">
                  <c:v>77.257296500678095</c:v>
                </c:pt>
                <c:pt idx="7">
                  <c:v>78.606104460584305</c:v>
                </c:pt>
                <c:pt idx="8">
                  <c:v>82.258962150544704</c:v>
                </c:pt>
                <c:pt idx="9">
                  <c:v>87.589247592296999</c:v>
                </c:pt>
                <c:pt idx="10">
                  <c:v>91.207736957433198</c:v>
                </c:pt>
                <c:pt idx="11">
                  <c:v>91.5727263261074</c:v>
                </c:pt>
                <c:pt idx="12">
                  <c:v>90.996394536343502</c:v>
                </c:pt>
                <c:pt idx="13">
                  <c:v>92.345594726967704</c:v>
                </c:pt>
                <c:pt idx="14">
                  <c:v>95.577292666308395</c:v>
                </c:pt>
                <c:pt idx="15">
                  <c:v>98.256270373981096</c:v>
                </c:pt>
                <c:pt idx="16">
                  <c:v>99.248047365292095</c:v>
                </c:pt>
                <c:pt idx="17">
                  <c:v>99.718204396210794</c:v>
                </c:pt>
                <c:pt idx="18">
                  <c:v>100.906681347171</c:v>
                </c:pt>
                <c:pt idx="19">
                  <c:v>102.78756682091</c:v>
                </c:pt>
                <c:pt idx="20">
                  <c:v>104.589642270743</c:v>
                </c:pt>
                <c:pt idx="21">
                  <c:v>105.14233554873</c:v>
                </c:pt>
                <c:pt idx="22">
                  <c:v>104.563800660938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A9B-403E-89C9-32E7DBCB30D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92187480"/>
        <c:axId val="192181600"/>
      </c:lineChart>
      <c:catAx>
        <c:axId val="19218748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181600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192181600"/>
        <c:scaling>
          <c:orientation val="minMax"/>
          <c:max val="130"/>
          <c:min val="6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187480"/>
        <c:crosses val="autoZero"/>
        <c:crossBetween val="between"/>
        <c:majorUnit val="20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738958333333335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Datos!$AW$27:$AW$49</c:f>
              <c:numCache>
                <c:formatCode>0.0</c:formatCode>
                <c:ptCount val="23"/>
                <c:pt idx="0">
                  <c:v>96.73138576302</c:v>
                </c:pt>
                <c:pt idx="1">
                  <c:v>95.870382013756696</c:v>
                </c:pt>
                <c:pt idx="2">
                  <c:v>96.041009482348201</c:v>
                </c:pt>
                <c:pt idx="3">
                  <c:v>95.000233371635602</c:v>
                </c:pt>
                <c:pt idx="4">
                  <c:v>95.838809177724499</c:v>
                </c:pt>
                <c:pt idx="5">
                  <c:v>74.508087010437194</c:v>
                </c:pt>
                <c:pt idx="6">
                  <c:v>95.0580626241034</c:v>
                </c:pt>
                <c:pt idx="7">
                  <c:v>94.805901324118395</c:v>
                </c:pt>
                <c:pt idx="8">
                  <c:v>93.223110796110007</c:v>
                </c:pt>
                <c:pt idx="9">
                  <c:v>93.896446406465202</c:v>
                </c:pt>
                <c:pt idx="10">
                  <c:v>91.685194100401603</c:v>
                </c:pt>
                <c:pt idx="11">
                  <c:v>92.245598351803693</c:v>
                </c:pt>
                <c:pt idx="12">
                  <c:v>93.3316739706611</c:v>
                </c:pt>
                <c:pt idx="13">
                  <c:v>95.607647083746102</c:v>
                </c:pt>
                <c:pt idx="14">
                  <c:v>96.168014535077305</c:v>
                </c:pt>
                <c:pt idx="15">
                  <c:v>97.701511348784294</c:v>
                </c:pt>
                <c:pt idx="16">
                  <c:v>100.79257642764</c:v>
                </c:pt>
                <c:pt idx="17">
                  <c:v>101.323669415238</c:v>
                </c:pt>
                <c:pt idx="18">
                  <c:v>106.945531719375</c:v>
                </c:pt>
                <c:pt idx="19">
                  <c:v>103.073226249646</c:v>
                </c:pt>
                <c:pt idx="20">
                  <c:v>102.752438713035</c:v>
                </c:pt>
                <c:pt idx="21">
                  <c:v>103.057067777885</c:v>
                </c:pt>
                <c:pt idx="22">
                  <c:v>105.72981316446101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4F0-4B7C-8100-81FEBAF2B7D0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Datos!$AX$27:$AX$49</c:f>
              <c:numCache>
                <c:formatCode>0.0</c:formatCode>
                <c:ptCount val="23"/>
                <c:pt idx="0">
                  <c:v>96.927245860544105</c:v>
                </c:pt>
                <c:pt idx="1">
                  <c:v>96.020484481868195</c:v>
                </c:pt>
                <c:pt idx="2">
                  <c:v>95.649367537737902</c:v>
                </c:pt>
                <c:pt idx="3">
                  <c:v>95.437631644938193</c:v>
                </c:pt>
                <c:pt idx="4">
                  <c:v>95.591448580713802</c:v>
                </c:pt>
                <c:pt idx="5">
                  <c:v>95.663970350357999</c:v>
                </c:pt>
                <c:pt idx="6">
                  <c:v>95.247171847196796</c:v>
                </c:pt>
                <c:pt idx="7">
                  <c:v>94.492527838042406</c:v>
                </c:pt>
                <c:pt idx="8">
                  <c:v>93.561463568634593</c:v>
                </c:pt>
                <c:pt idx="9">
                  <c:v>92.5275191158821</c:v>
                </c:pt>
                <c:pt idx="10">
                  <c:v>91.962952345294198</c:v>
                </c:pt>
                <c:pt idx="11">
                  <c:v>92.107530357304398</c:v>
                </c:pt>
                <c:pt idx="12">
                  <c:v>93.593786959954201</c:v>
                </c:pt>
                <c:pt idx="13">
                  <c:v>95.196881343248407</c:v>
                </c:pt>
                <c:pt idx="14">
                  <c:v>96.3384749838944</c:v>
                </c:pt>
                <c:pt idx="15">
                  <c:v>97.982964793504394</c:v>
                </c:pt>
                <c:pt idx="16">
                  <c:v>100.155349125961</c:v>
                </c:pt>
                <c:pt idx="17">
                  <c:v>101.498982391667</c:v>
                </c:pt>
                <c:pt idx="18">
                  <c:v>102.278221012481</c:v>
                </c:pt>
                <c:pt idx="19">
                  <c:v>102.852399920487</c:v>
                </c:pt>
                <c:pt idx="20">
                  <c:v>102.758019630508</c:v>
                </c:pt>
                <c:pt idx="21">
                  <c:v>103.477002777075</c:v>
                </c:pt>
                <c:pt idx="22">
                  <c:v>105.24791867396399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4F0-4B7C-8100-81FEBAF2B7D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92183952"/>
        <c:axId val="192185128"/>
      </c:lineChart>
      <c:catAx>
        <c:axId val="1921839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185128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192185128"/>
        <c:scaling>
          <c:orientation val="minMax"/>
          <c:max val="110"/>
          <c:min val="7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183952"/>
        <c:crosses val="autoZero"/>
        <c:crossBetween val="between"/>
        <c:majorUnit val="10"/>
      </c:valAx>
      <c:spPr>
        <a:noFill/>
        <a:ln w="3175">
          <a:noFill/>
          <a:prstDash val="solid"/>
        </a:ln>
        <a:effectLst/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871636024513717E-2"/>
          <c:y val="4.3165079365079365E-2"/>
          <c:w val="0.90581803245737891"/>
          <c:h val="0.83738958333333335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Datos!$AY$27:$AY$49</c:f>
              <c:numCache>
                <c:formatCode>0.0</c:formatCode>
                <c:ptCount val="23"/>
                <c:pt idx="0">
                  <c:v>100.981205759254</c:v>
                </c:pt>
                <c:pt idx="1">
                  <c:v>98.361504309803195</c:v>
                </c:pt>
                <c:pt idx="2">
                  <c:v>98.215731456570197</c:v>
                </c:pt>
                <c:pt idx="3">
                  <c:v>98.185656804883806</c:v>
                </c:pt>
                <c:pt idx="4">
                  <c:v>97.708806246199899</c:v>
                </c:pt>
                <c:pt idx="5">
                  <c:v>82.566923822384993</c:v>
                </c:pt>
                <c:pt idx="6">
                  <c:v>92.207702982815704</c:v>
                </c:pt>
                <c:pt idx="7">
                  <c:v>94.027160971036196</c:v>
                </c:pt>
                <c:pt idx="8">
                  <c:v>95.987089356877803</c:v>
                </c:pt>
                <c:pt idx="9">
                  <c:v>95.676787883375894</c:v>
                </c:pt>
                <c:pt idx="10">
                  <c:v>95.977888055927593</c:v>
                </c:pt>
                <c:pt idx="11">
                  <c:v>96.362491101595296</c:v>
                </c:pt>
                <c:pt idx="12">
                  <c:v>95.239431625613904</c:v>
                </c:pt>
                <c:pt idx="13">
                  <c:v>96.929399029796599</c:v>
                </c:pt>
                <c:pt idx="14">
                  <c:v>98.512459216561197</c:v>
                </c:pt>
                <c:pt idx="15">
                  <c:v>99.998200858342898</c:v>
                </c:pt>
                <c:pt idx="16">
                  <c:v>99.187528884353995</c:v>
                </c:pt>
                <c:pt idx="17">
                  <c:v>99.206139868753297</c:v>
                </c:pt>
                <c:pt idx="18">
                  <c:v>99.552455500610407</c:v>
                </c:pt>
                <c:pt idx="19">
                  <c:v>94.406612645409993</c:v>
                </c:pt>
                <c:pt idx="20">
                  <c:v>100.07505132750001</c:v>
                </c:pt>
                <c:pt idx="21">
                  <c:v>97.754043452738003</c:v>
                </c:pt>
                <c:pt idx="22">
                  <c:v>99.545534796488994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507-4E61-B42D-9526ECA720BE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Datos!$AZ$27:$AZ$49</c:f>
              <c:numCache>
                <c:formatCode>0.0</c:formatCode>
                <c:ptCount val="23"/>
                <c:pt idx="0">
                  <c:v>98.975588707413706</c:v>
                </c:pt>
                <c:pt idx="1">
                  <c:v>98.628338594109493</c:v>
                </c:pt>
                <c:pt idx="2">
                  <c:v>98.195214933569304</c:v>
                </c:pt>
                <c:pt idx="3">
                  <c:v>98.022141416651195</c:v>
                </c:pt>
                <c:pt idx="4">
                  <c:v>97.973283152428706</c:v>
                </c:pt>
                <c:pt idx="5">
                  <c:v>91.873160935756104</c:v>
                </c:pt>
                <c:pt idx="6">
                  <c:v>92.511181792823393</c:v>
                </c:pt>
                <c:pt idx="7">
                  <c:v>94.082333612870599</c:v>
                </c:pt>
                <c:pt idx="8">
                  <c:v>95.598491570131003</c:v>
                </c:pt>
                <c:pt idx="9">
                  <c:v>95.927138008708198</c:v>
                </c:pt>
                <c:pt idx="10">
                  <c:v>96.055960080607306</c:v>
                </c:pt>
                <c:pt idx="11">
                  <c:v>95.928403861287094</c:v>
                </c:pt>
                <c:pt idx="12">
                  <c:v>95.771085798646396</c:v>
                </c:pt>
                <c:pt idx="13">
                  <c:v>96.714294211019094</c:v>
                </c:pt>
                <c:pt idx="14">
                  <c:v>98.674635295608994</c:v>
                </c:pt>
                <c:pt idx="15">
                  <c:v>99.607219653643995</c:v>
                </c:pt>
                <c:pt idx="16">
                  <c:v>99.546966578234304</c:v>
                </c:pt>
                <c:pt idx="17">
                  <c:v>99.009080179587798</c:v>
                </c:pt>
                <c:pt idx="18">
                  <c:v>98.262472233627193</c:v>
                </c:pt>
                <c:pt idx="19">
                  <c:v>97.518231837886603</c:v>
                </c:pt>
                <c:pt idx="20">
                  <c:v>97.362637362660706</c:v>
                </c:pt>
                <c:pt idx="21">
                  <c:v>98.182734697616695</c:v>
                </c:pt>
                <c:pt idx="22">
                  <c:v>98.881281209218002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507-4E61-B42D-9526ECA720B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92186696"/>
        <c:axId val="192185912"/>
      </c:lineChart>
      <c:catAx>
        <c:axId val="19218669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185912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192185912"/>
        <c:scaling>
          <c:orientation val="minMax"/>
          <c:max val="105"/>
          <c:min val="8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2186696"/>
        <c:crosses val="autoZero"/>
        <c:crossBetween val="between"/>
        <c:majorUnit val="5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738958333333335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Datos!$BA$27:$BA$49</c:f>
              <c:numCache>
                <c:formatCode>0.0</c:formatCode>
                <c:ptCount val="23"/>
                <c:pt idx="0">
                  <c:v>100.380838817444</c:v>
                </c:pt>
                <c:pt idx="1">
                  <c:v>100.66324631087799</c:v>
                </c:pt>
                <c:pt idx="2">
                  <c:v>101.335016480213</c:v>
                </c:pt>
                <c:pt idx="3">
                  <c:v>98.499674189532001</c:v>
                </c:pt>
                <c:pt idx="4">
                  <c:v>100.60008570082</c:v>
                </c:pt>
                <c:pt idx="5">
                  <c:v>84.424681091081197</c:v>
                </c:pt>
                <c:pt idx="6">
                  <c:v>93.821116602904596</c:v>
                </c:pt>
                <c:pt idx="7">
                  <c:v>96.721794671997898</c:v>
                </c:pt>
                <c:pt idx="8">
                  <c:v>96.301124113268003</c:v>
                </c:pt>
                <c:pt idx="9">
                  <c:v>97.3401681733217</c:v>
                </c:pt>
                <c:pt idx="10">
                  <c:v>97.378192580147399</c:v>
                </c:pt>
                <c:pt idx="11">
                  <c:v>98.145441617998202</c:v>
                </c:pt>
                <c:pt idx="12">
                  <c:v>99.920973929154201</c:v>
                </c:pt>
                <c:pt idx="13">
                  <c:v>99.956325174971496</c:v>
                </c:pt>
                <c:pt idx="14">
                  <c:v>100.33310256683301</c:v>
                </c:pt>
                <c:pt idx="15">
                  <c:v>101.872421124583</c:v>
                </c:pt>
                <c:pt idx="16">
                  <c:v>103.37273694758601</c:v>
                </c:pt>
                <c:pt idx="17">
                  <c:v>104.09685034111</c:v>
                </c:pt>
                <c:pt idx="18">
                  <c:v>106.64320376650799</c:v>
                </c:pt>
                <c:pt idx="19">
                  <c:v>105.529569003436</c:v>
                </c:pt>
                <c:pt idx="20">
                  <c:v>104.979159605417</c:v>
                </c:pt>
                <c:pt idx="21">
                  <c:v>105.899969639009</c:v>
                </c:pt>
                <c:pt idx="22">
                  <c:v>106.252682377437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C91-43D0-9AE5-ACD12B6C22E6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Datos!$BB$27:$BB$49</c:f>
              <c:numCache>
                <c:formatCode>0.0</c:formatCode>
                <c:ptCount val="23"/>
                <c:pt idx="0">
                  <c:v>100.460407648613</c:v>
                </c:pt>
                <c:pt idx="1">
                  <c:v>100.847405878828</c:v>
                </c:pt>
                <c:pt idx="2">
                  <c:v>100.795226691488</c:v>
                </c:pt>
                <c:pt idx="3">
                  <c:v>100.295511253508</c:v>
                </c:pt>
                <c:pt idx="4">
                  <c:v>100.435103221418</c:v>
                </c:pt>
                <c:pt idx="5">
                  <c:v>93.167841287674307</c:v>
                </c:pt>
                <c:pt idx="6">
                  <c:v>94.280041752656103</c:v>
                </c:pt>
                <c:pt idx="7">
                  <c:v>95.656973232263994</c:v>
                </c:pt>
                <c:pt idx="8">
                  <c:v>96.679120116343796</c:v>
                </c:pt>
                <c:pt idx="9">
                  <c:v>97.070875072172399</c:v>
                </c:pt>
                <c:pt idx="10">
                  <c:v>97.484748169243403</c:v>
                </c:pt>
                <c:pt idx="11">
                  <c:v>98.367742256457703</c:v>
                </c:pt>
                <c:pt idx="12">
                  <c:v>99.566318325830593</c:v>
                </c:pt>
                <c:pt idx="13">
                  <c:v>100.04887879742699</c:v>
                </c:pt>
                <c:pt idx="14">
                  <c:v>100.481619480574</c:v>
                </c:pt>
                <c:pt idx="15">
                  <c:v>101.83832592065301</c:v>
                </c:pt>
                <c:pt idx="16">
                  <c:v>103.18298882433101</c:v>
                </c:pt>
                <c:pt idx="17">
                  <c:v>104.46947969848399</c:v>
                </c:pt>
                <c:pt idx="18">
                  <c:v>105.510172906278</c:v>
                </c:pt>
                <c:pt idx="19">
                  <c:v>105.552287608749</c:v>
                </c:pt>
                <c:pt idx="20">
                  <c:v>105.250747188237</c:v>
                </c:pt>
                <c:pt idx="21">
                  <c:v>105.76907556770701</c:v>
                </c:pt>
                <c:pt idx="22">
                  <c:v>106.114734264275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C91-43D0-9AE5-ACD12B6C22E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49755656"/>
        <c:axId val="449754872"/>
      </c:lineChart>
      <c:catAx>
        <c:axId val="44975565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49754872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449754872"/>
        <c:scaling>
          <c:orientation val="minMax"/>
          <c:max val="110"/>
          <c:min val="8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49755656"/>
        <c:crosses val="autoZero"/>
        <c:crossBetween val="between"/>
        <c:majorUnit val="10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270277777777779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Datos!$BC$27:$BC$49</c:f>
              <c:numCache>
                <c:formatCode>0.0</c:formatCode>
                <c:ptCount val="23"/>
                <c:pt idx="0">
                  <c:v>91.021639665632705</c:v>
                </c:pt>
                <c:pt idx="1">
                  <c:v>92.595315540336998</c:v>
                </c:pt>
                <c:pt idx="2">
                  <c:v>96.262593858335606</c:v>
                </c:pt>
                <c:pt idx="3">
                  <c:v>98.207340972441898</c:v>
                </c:pt>
                <c:pt idx="4">
                  <c:v>99.734808579083406</c:v>
                </c:pt>
                <c:pt idx="5">
                  <c:v>94.580558810200202</c:v>
                </c:pt>
                <c:pt idx="6">
                  <c:v>98.846533258719703</c:v>
                </c:pt>
                <c:pt idx="7">
                  <c:v>102.088044266374</c:v>
                </c:pt>
                <c:pt idx="8">
                  <c:v>105.276368838431</c:v>
                </c:pt>
                <c:pt idx="9">
                  <c:v>111.991537249361</c:v>
                </c:pt>
                <c:pt idx="10">
                  <c:v>120.07821713093701</c:v>
                </c:pt>
                <c:pt idx="11">
                  <c:v>126.364511866249</c:v>
                </c:pt>
                <c:pt idx="12">
                  <c:v>131.56190849904499</c:v>
                </c:pt>
                <c:pt idx="13">
                  <c:v>134.46721828287599</c:v>
                </c:pt>
                <c:pt idx="14">
                  <c:v>138.421056292397</c:v>
                </c:pt>
                <c:pt idx="15">
                  <c:v>139.03237125442399</c:v>
                </c:pt>
                <c:pt idx="16">
                  <c:v>141.21904133004401</c:v>
                </c:pt>
                <c:pt idx="17">
                  <c:v>144.637582689238</c:v>
                </c:pt>
                <c:pt idx="18">
                  <c:v>137.87645467562399</c:v>
                </c:pt>
                <c:pt idx="19">
                  <c:v>136.456998654134</c:v>
                </c:pt>
                <c:pt idx="20">
                  <c:v>136.61057719080199</c:v>
                </c:pt>
                <c:pt idx="21">
                  <c:v>130.321805393722</c:v>
                </c:pt>
                <c:pt idx="22">
                  <c:v>128.379453008665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60-49A2-8577-F7D5EEABEDD7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Datos!$BD$27:$BD$49</c:f>
              <c:numCache>
                <c:formatCode>0.0</c:formatCode>
                <c:ptCount val="23"/>
                <c:pt idx="0">
                  <c:v>90.892551764668298</c:v>
                </c:pt>
                <c:pt idx="1">
                  <c:v>92.969833746789305</c:v>
                </c:pt>
                <c:pt idx="2">
                  <c:v>95.886548081357006</c:v>
                </c:pt>
                <c:pt idx="3">
                  <c:v>98.397674186386794</c:v>
                </c:pt>
                <c:pt idx="4">
                  <c:v>99.531874601996194</c:v>
                </c:pt>
                <c:pt idx="5">
                  <c:v>99.404740312445298</c:v>
                </c:pt>
                <c:pt idx="6">
                  <c:v>99.642268675331707</c:v>
                </c:pt>
                <c:pt idx="7">
                  <c:v>102.034787638027</c:v>
                </c:pt>
                <c:pt idx="8">
                  <c:v>104.88542034969301</c:v>
                </c:pt>
                <c:pt idx="9">
                  <c:v>112.44263775175899</c:v>
                </c:pt>
                <c:pt idx="10">
                  <c:v>119.775222498967</c:v>
                </c:pt>
                <c:pt idx="11">
                  <c:v>126.032086235714</c:v>
                </c:pt>
                <c:pt idx="12">
                  <c:v>132.234874054166</c:v>
                </c:pt>
                <c:pt idx="13">
                  <c:v>134.54370803438701</c:v>
                </c:pt>
                <c:pt idx="14">
                  <c:v>137.73753350176901</c:v>
                </c:pt>
                <c:pt idx="15">
                  <c:v>139.60185796730701</c:v>
                </c:pt>
                <c:pt idx="16">
                  <c:v>141.18812663939499</c:v>
                </c:pt>
                <c:pt idx="17">
                  <c:v>141.70827618825999</c:v>
                </c:pt>
                <c:pt idx="18">
                  <c:v>139.57175116992499</c:v>
                </c:pt>
                <c:pt idx="19">
                  <c:v>136.73099904324101</c:v>
                </c:pt>
                <c:pt idx="20">
                  <c:v>133.85262108009201</c:v>
                </c:pt>
                <c:pt idx="21">
                  <c:v>130.58142795084299</c:v>
                </c:pt>
                <c:pt idx="22">
                  <c:v>128.63143455890801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60-49A2-8577-F7D5EEABEDD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49751736"/>
        <c:axId val="449752912"/>
      </c:lineChart>
      <c:catAx>
        <c:axId val="44975173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49752912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449752912"/>
        <c:scaling>
          <c:orientation val="minMax"/>
          <c:max val="150"/>
          <c:min val="85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49751736"/>
        <c:crosses val="autoZero"/>
        <c:crossBetween val="between"/>
        <c:majorUnit val="15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033399470899466E-2"/>
          <c:y val="4.3165079072967967E-2"/>
          <c:w val="0.90581803245737891"/>
          <c:h val="0.83738958333333335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Datos!$BE$27:$BE$49</c:f>
              <c:numCache>
                <c:formatCode>0.0</c:formatCode>
                <c:ptCount val="23"/>
                <c:pt idx="0">
                  <c:v>101.755267814009</c:v>
                </c:pt>
                <c:pt idx="1">
                  <c:v>102.16243843638701</c:v>
                </c:pt>
                <c:pt idx="2">
                  <c:v>103.86750147814</c:v>
                </c:pt>
                <c:pt idx="3">
                  <c:v>103.16860800143201</c:v>
                </c:pt>
                <c:pt idx="4">
                  <c:v>100.991230753989</c:v>
                </c:pt>
                <c:pt idx="5">
                  <c:v>84.5707701580303</c:v>
                </c:pt>
                <c:pt idx="6">
                  <c:v>94.275514330640604</c:v>
                </c:pt>
                <c:pt idx="7">
                  <c:v>96.979418406653096</c:v>
                </c:pt>
                <c:pt idx="8">
                  <c:v>98.435920684665703</c:v>
                </c:pt>
                <c:pt idx="9">
                  <c:v>98.007979972675301</c:v>
                </c:pt>
                <c:pt idx="10">
                  <c:v>99.403858732785494</c:v>
                </c:pt>
                <c:pt idx="11">
                  <c:v>99.884064611147394</c:v>
                </c:pt>
                <c:pt idx="12">
                  <c:v>100.105381860702</c:v>
                </c:pt>
                <c:pt idx="13">
                  <c:v>104.0979873875</c:v>
                </c:pt>
                <c:pt idx="14">
                  <c:v>102.397425588346</c:v>
                </c:pt>
                <c:pt idx="15">
                  <c:v>102.06614632378999</c:v>
                </c:pt>
                <c:pt idx="16">
                  <c:v>102.050123934404</c:v>
                </c:pt>
                <c:pt idx="17">
                  <c:v>102.05472361672</c:v>
                </c:pt>
                <c:pt idx="18">
                  <c:v>102.039921262993</c:v>
                </c:pt>
                <c:pt idx="19">
                  <c:v>101.884082724682</c:v>
                </c:pt>
                <c:pt idx="20">
                  <c:v>102.234049096367</c:v>
                </c:pt>
                <c:pt idx="21">
                  <c:v>103.60938697215499</c:v>
                </c:pt>
                <c:pt idx="22">
                  <c:v>105.018079365604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3C2-4EC4-9A90-A7D7CABD33E1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Datos!$BF$27:$BF$49</c:f>
              <c:numCache>
                <c:formatCode>0.0</c:formatCode>
                <c:ptCount val="23"/>
                <c:pt idx="0">
                  <c:v>101.56117656096001</c:v>
                </c:pt>
                <c:pt idx="1">
                  <c:v>102.572406334249</c:v>
                </c:pt>
                <c:pt idx="2">
                  <c:v>103.527733102627</c:v>
                </c:pt>
                <c:pt idx="3">
                  <c:v>102.916854380091</c:v>
                </c:pt>
                <c:pt idx="4">
                  <c:v>101.55246754685299</c:v>
                </c:pt>
                <c:pt idx="5">
                  <c:v>93.581887704368896</c:v>
                </c:pt>
                <c:pt idx="6">
                  <c:v>94.7536458500078</c:v>
                </c:pt>
                <c:pt idx="7">
                  <c:v>96.754914408221197</c:v>
                </c:pt>
                <c:pt idx="8">
                  <c:v>98.118705746171003</c:v>
                </c:pt>
                <c:pt idx="9">
                  <c:v>98.484932361437302</c:v>
                </c:pt>
                <c:pt idx="10">
                  <c:v>99.079514217713907</c:v>
                </c:pt>
                <c:pt idx="11">
                  <c:v>100.054357050498</c:v>
                </c:pt>
                <c:pt idx="12">
                  <c:v>101.23670315314401</c:v>
                </c:pt>
                <c:pt idx="13">
                  <c:v>102.344511371848</c:v>
                </c:pt>
                <c:pt idx="14">
                  <c:v>102.471789055248</c:v>
                </c:pt>
                <c:pt idx="15">
                  <c:v>102.121583889866</c:v>
                </c:pt>
                <c:pt idx="16">
                  <c:v>102.031428743459</c:v>
                </c:pt>
                <c:pt idx="17">
                  <c:v>102.060715962373</c:v>
                </c:pt>
                <c:pt idx="18">
                  <c:v>101.98349475912801</c:v>
                </c:pt>
                <c:pt idx="19">
                  <c:v>101.893428055136</c:v>
                </c:pt>
                <c:pt idx="20">
                  <c:v>102.345039499135</c:v>
                </c:pt>
                <c:pt idx="21">
                  <c:v>103.563774457512</c:v>
                </c:pt>
                <c:pt idx="22">
                  <c:v>104.981587678357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3C2-4EC4-9A90-A7D7CABD33E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49751344"/>
        <c:axId val="449756048"/>
      </c:lineChart>
      <c:catAx>
        <c:axId val="44975134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49756048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449756048"/>
        <c:scaling>
          <c:orientation val="minMax"/>
          <c:max val="110"/>
          <c:min val="8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49751344"/>
        <c:crosses val="autoZero"/>
        <c:crossBetween val="between"/>
        <c:majorUnit val="10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376527777777776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Datos!$BG$27:$BG$49</c:f>
              <c:numCache>
                <c:formatCode>0.0</c:formatCode>
                <c:ptCount val="23"/>
                <c:pt idx="0">
                  <c:v>101.54053312561</c:v>
                </c:pt>
                <c:pt idx="1">
                  <c:v>100.02637822523801</c:v>
                </c:pt>
                <c:pt idx="2">
                  <c:v>99.378837406430904</c:v>
                </c:pt>
                <c:pt idx="3">
                  <c:v>99.411051556268902</c:v>
                </c:pt>
                <c:pt idx="4">
                  <c:v>99.169717839274895</c:v>
                </c:pt>
                <c:pt idx="5">
                  <c:v>80.863221264867093</c:v>
                </c:pt>
                <c:pt idx="6">
                  <c:v>92.472629145314897</c:v>
                </c:pt>
                <c:pt idx="7">
                  <c:v>94.084303063682</c:v>
                </c:pt>
                <c:pt idx="8">
                  <c:v>95.364265951258204</c:v>
                </c:pt>
                <c:pt idx="9">
                  <c:v>96.171843978403103</c:v>
                </c:pt>
                <c:pt idx="10">
                  <c:v>97.998797171234301</c:v>
                </c:pt>
                <c:pt idx="11">
                  <c:v>98.297134452537705</c:v>
                </c:pt>
                <c:pt idx="12">
                  <c:v>97.664480264792701</c:v>
                </c:pt>
                <c:pt idx="13">
                  <c:v>99.822425572761205</c:v>
                </c:pt>
                <c:pt idx="14">
                  <c:v>100.202026874</c:v>
                </c:pt>
                <c:pt idx="15">
                  <c:v>99.655707079528895</c:v>
                </c:pt>
                <c:pt idx="16">
                  <c:v>99.856649606077198</c:v>
                </c:pt>
                <c:pt idx="17">
                  <c:v>99.885072740078499</c:v>
                </c:pt>
                <c:pt idx="18">
                  <c:v>100.726645366518</c:v>
                </c:pt>
                <c:pt idx="19">
                  <c:v>102.07414520285801</c:v>
                </c:pt>
                <c:pt idx="20">
                  <c:v>101.146233575953</c:v>
                </c:pt>
                <c:pt idx="21">
                  <c:v>103.578132837832</c:v>
                </c:pt>
                <c:pt idx="22">
                  <c:v>102.968703141756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6D-48C9-902C-07FFA54CD951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Datos!$BH$27:$BH$49</c:f>
              <c:numCache>
                <c:formatCode>0.0</c:formatCode>
                <c:ptCount val="23"/>
                <c:pt idx="0">
                  <c:v>100.43196429287499</c:v>
                </c:pt>
                <c:pt idx="1">
                  <c:v>100.05120470648799</c:v>
                </c:pt>
                <c:pt idx="2">
                  <c:v>99.503674842210003</c:v>
                </c:pt>
                <c:pt idx="3">
                  <c:v>99.244544986933093</c:v>
                </c:pt>
                <c:pt idx="4">
                  <c:v>99.388298115569299</c:v>
                </c:pt>
                <c:pt idx="5">
                  <c:v>92.047310898489101</c:v>
                </c:pt>
                <c:pt idx="6">
                  <c:v>92.751707002980993</c:v>
                </c:pt>
                <c:pt idx="7">
                  <c:v>93.963990263654395</c:v>
                </c:pt>
                <c:pt idx="8">
                  <c:v>95.244401926884294</c:v>
                </c:pt>
                <c:pt idx="9">
                  <c:v>96.468469059416904</c:v>
                </c:pt>
                <c:pt idx="10">
                  <c:v>97.704818667781495</c:v>
                </c:pt>
                <c:pt idx="11">
                  <c:v>98.319779233404304</c:v>
                </c:pt>
                <c:pt idx="12">
                  <c:v>98.753277113255606</c:v>
                </c:pt>
                <c:pt idx="13">
                  <c:v>99.6763801518279</c:v>
                </c:pt>
                <c:pt idx="14">
                  <c:v>100.078754507938</c:v>
                </c:pt>
                <c:pt idx="15">
                  <c:v>99.846099624061196</c:v>
                </c:pt>
                <c:pt idx="16">
                  <c:v>99.716738897791899</c:v>
                </c:pt>
                <c:pt idx="17">
                  <c:v>99.980005308323101</c:v>
                </c:pt>
                <c:pt idx="18">
                  <c:v>100.81198693001301</c:v>
                </c:pt>
                <c:pt idx="19">
                  <c:v>101.869488362716</c:v>
                </c:pt>
                <c:pt idx="20">
                  <c:v>102.65174165159</c:v>
                </c:pt>
                <c:pt idx="21">
                  <c:v>102.993212962317</c:v>
                </c:pt>
                <c:pt idx="22">
                  <c:v>103.134746967994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96D-48C9-902C-07FFA54CD95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49756832"/>
        <c:axId val="449752128"/>
      </c:lineChart>
      <c:catAx>
        <c:axId val="44975683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49752128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449752128"/>
        <c:scaling>
          <c:orientation val="minMax"/>
          <c:max val="105"/>
          <c:min val="8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49756832"/>
        <c:crosses val="autoZero"/>
        <c:crossBetween val="between"/>
        <c:majorUnit val="5"/>
      </c:valAx>
      <c:spPr>
        <a:noFill/>
        <a:ln w="3175">
          <a:noFill/>
          <a:prstDash val="solid"/>
        </a:ln>
        <a:effectLst/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238833333333333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Datos!$G$27:$G$49</c:f>
              <c:numCache>
                <c:formatCode>0.0</c:formatCode>
                <c:ptCount val="23"/>
                <c:pt idx="0">
                  <c:v>97.631735883066199</c:v>
                </c:pt>
                <c:pt idx="1">
                  <c:v>96.214953406291599</c:v>
                </c:pt>
                <c:pt idx="2">
                  <c:v>95.867519705864694</c:v>
                </c:pt>
                <c:pt idx="3">
                  <c:v>94.955836766432796</c:v>
                </c:pt>
                <c:pt idx="4">
                  <c:v>95.490114545354402</c:v>
                </c:pt>
                <c:pt idx="5">
                  <c:v>69.056923793239406</c:v>
                </c:pt>
                <c:pt idx="6">
                  <c:v>81.038379935382395</c:v>
                </c:pt>
                <c:pt idx="7">
                  <c:v>85.685739923772104</c:v>
                </c:pt>
                <c:pt idx="8">
                  <c:v>84.789605814164602</c:v>
                </c:pt>
                <c:pt idx="9">
                  <c:v>93.603384516894295</c:v>
                </c:pt>
                <c:pt idx="10">
                  <c:v>95.745919930615699</c:v>
                </c:pt>
                <c:pt idx="11">
                  <c:v>94.6259292872071</c:v>
                </c:pt>
                <c:pt idx="12">
                  <c:v>92.036765580294102</c:v>
                </c:pt>
                <c:pt idx="13">
                  <c:v>95.788566046715601</c:v>
                </c:pt>
                <c:pt idx="14">
                  <c:v>98.449540401569095</c:v>
                </c:pt>
                <c:pt idx="15">
                  <c:v>96.953013811542107</c:v>
                </c:pt>
                <c:pt idx="16">
                  <c:v>96.742223500129995</c:v>
                </c:pt>
                <c:pt idx="17">
                  <c:v>96.4832362786386</c:v>
                </c:pt>
                <c:pt idx="18">
                  <c:v>97.821379415817404</c:v>
                </c:pt>
                <c:pt idx="19">
                  <c:v>98.608552301871001</c:v>
                </c:pt>
                <c:pt idx="20">
                  <c:v>100.236171852696</c:v>
                </c:pt>
                <c:pt idx="21">
                  <c:v>100.884876539635</c:v>
                </c:pt>
                <c:pt idx="22">
                  <c:v>100.26397153612901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9A8-4C5A-9D43-3B1C21DC156B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Datos!$H$27:$H$49</c:f>
              <c:numCache>
                <c:formatCode>0.0</c:formatCode>
                <c:ptCount val="23"/>
                <c:pt idx="0">
                  <c:v>97.973193215459006</c:v>
                </c:pt>
                <c:pt idx="1">
                  <c:v>96.314216068671499</c:v>
                </c:pt>
                <c:pt idx="2">
                  <c:v>95.599967372204105</c:v>
                </c:pt>
                <c:pt idx="3">
                  <c:v>95.202436607177006</c:v>
                </c:pt>
                <c:pt idx="4">
                  <c:v>95.353506243230797</c:v>
                </c:pt>
                <c:pt idx="5">
                  <c:v>79.807927211562301</c:v>
                </c:pt>
                <c:pt idx="6">
                  <c:v>81.575132298926405</c:v>
                </c:pt>
                <c:pt idx="7">
                  <c:v>85.348111139215703</c:v>
                </c:pt>
                <c:pt idx="8">
                  <c:v>89.883386095553107</c:v>
                </c:pt>
                <c:pt idx="9">
                  <c:v>93.605037356226504</c:v>
                </c:pt>
                <c:pt idx="10">
                  <c:v>95.350988827914605</c:v>
                </c:pt>
                <c:pt idx="11">
                  <c:v>94.783549064651297</c:v>
                </c:pt>
                <c:pt idx="12">
                  <c:v>94.397027307172905</c:v>
                </c:pt>
                <c:pt idx="13">
                  <c:v>95.670011070906995</c:v>
                </c:pt>
                <c:pt idx="14">
                  <c:v>96.917784034956696</c:v>
                </c:pt>
                <c:pt idx="15">
                  <c:v>97.053187079379896</c:v>
                </c:pt>
                <c:pt idx="16">
                  <c:v>96.622829396658901</c:v>
                </c:pt>
                <c:pt idx="17">
                  <c:v>96.761774689301006</c:v>
                </c:pt>
                <c:pt idx="18">
                  <c:v>97.561484772322501</c:v>
                </c:pt>
                <c:pt idx="19">
                  <c:v>98.844308761086594</c:v>
                </c:pt>
                <c:pt idx="20">
                  <c:v>100.12392709485</c:v>
                </c:pt>
                <c:pt idx="21">
                  <c:v>100.705197730257</c:v>
                </c:pt>
                <c:pt idx="22">
                  <c:v>100.510241406376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9A8-4C5A-9D43-3B1C21DC156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89998248"/>
        <c:axId val="189997856"/>
      </c:lineChart>
      <c:catAx>
        <c:axId val="18999824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89997856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189997856"/>
        <c:scaling>
          <c:orientation val="minMax"/>
          <c:max val="110"/>
          <c:min val="6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89998248"/>
        <c:crosses val="autoZero"/>
        <c:crossBetween val="between"/>
        <c:majorUnit val="10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738958333333335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Datos!$BI$27:$BI$49</c:f>
              <c:numCache>
                <c:formatCode>0.0</c:formatCode>
                <c:ptCount val="23"/>
                <c:pt idx="0">
                  <c:v>102.098661278135</c:v>
                </c:pt>
                <c:pt idx="1">
                  <c:v>102.176172491413</c:v>
                </c:pt>
                <c:pt idx="2">
                  <c:v>101.62614241201</c:v>
                </c:pt>
                <c:pt idx="3">
                  <c:v>102.98618016907299</c:v>
                </c:pt>
                <c:pt idx="4">
                  <c:v>103.58743311921</c:v>
                </c:pt>
                <c:pt idx="5">
                  <c:v>84.681392211097801</c:v>
                </c:pt>
                <c:pt idx="6">
                  <c:v>92.257409459235305</c:v>
                </c:pt>
                <c:pt idx="7">
                  <c:v>97.006839003739998</c:v>
                </c:pt>
                <c:pt idx="8">
                  <c:v>97.106987465822598</c:v>
                </c:pt>
                <c:pt idx="9">
                  <c:v>97.698330805605096</c:v>
                </c:pt>
                <c:pt idx="10">
                  <c:v>100.156711178793</c:v>
                </c:pt>
                <c:pt idx="11">
                  <c:v>104.069444483903</c:v>
                </c:pt>
                <c:pt idx="12">
                  <c:v>99.985365839722604</c:v>
                </c:pt>
                <c:pt idx="13">
                  <c:v>100.870801747031</c:v>
                </c:pt>
                <c:pt idx="14">
                  <c:v>101.44411614879</c:v>
                </c:pt>
                <c:pt idx="15">
                  <c:v>101.775711680733</c:v>
                </c:pt>
                <c:pt idx="16">
                  <c:v>102.50072586127</c:v>
                </c:pt>
                <c:pt idx="17">
                  <c:v>103.82842602950601</c:v>
                </c:pt>
                <c:pt idx="18">
                  <c:v>102.541818736883</c:v>
                </c:pt>
                <c:pt idx="19">
                  <c:v>105.149167773974</c:v>
                </c:pt>
                <c:pt idx="20">
                  <c:v>106.091762345427</c:v>
                </c:pt>
                <c:pt idx="21">
                  <c:v>107.025703895104</c:v>
                </c:pt>
                <c:pt idx="22">
                  <c:v>107.655597617148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D27-465E-80C5-6FE97C38914C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Datos!$BJ$27:$BJ$49</c:f>
              <c:numCache>
                <c:formatCode>0.0</c:formatCode>
                <c:ptCount val="23"/>
                <c:pt idx="0">
                  <c:v>101.93944024238</c:v>
                </c:pt>
                <c:pt idx="1">
                  <c:v>102.007937450775</c:v>
                </c:pt>
                <c:pt idx="2">
                  <c:v>102.008435059644</c:v>
                </c:pt>
                <c:pt idx="3">
                  <c:v>102.72889620737401</c:v>
                </c:pt>
                <c:pt idx="4">
                  <c:v>103.691712554977</c:v>
                </c:pt>
                <c:pt idx="5">
                  <c:v>96.770512789126798</c:v>
                </c:pt>
                <c:pt idx="6">
                  <c:v>96.999203259783897</c:v>
                </c:pt>
                <c:pt idx="7">
                  <c:v>96.993616264534197</c:v>
                </c:pt>
                <c:pt idx="8">
                  <c:v>97.078049733776695</c:v>
                </c:pt>
                <c:pt idx="9">
                  <c:v>97.974963328284005</c:v>
                </c:pt>
                <c:pt idx="10">
                  <c:v>99.241310918479002</c:v>
                </c:pt>
                <c:pt idx="11">
                  <c:v>99.859783615966705</c:v>
                </c:pt>
                <c:pt idx="12">
                  <c:v>100.11031603379899</c:v>
                </c:pt>
                <c:pt idx="13">
                  <c:v>100.79211545204799</c:v>
                </c:pt>
                <c:pt idx="14">
                  <c:v>101.40264960146099</c:v>
                </c:pt>
                <c:pt idx="15">
                  <c:v>101.865094338986</c:v>
                </c:pt>
                <c:pt idx="16">
                  <c:v>102.43964259817599</c:v>
                </c:pt>
                <c:pt idx="17">
                  <c:v>102.995769436308</c:v>
                </c:pt>
                <c:pt idx="18">
                  <c:v>103.793146223292</c:v>
                </c:pt>
                <c:pt idx="19">
                  <c:v>104.97284907974201</c:v>
                </c:pt>
                <c:pt idx="20">
                  <c:v>106.141443999386</c:v>
                </c:pt>
                <c:pt idx="21">
                  <c:v>106.994869749115</c:v>
                </c:pt>
                <c:pt idx="22">
                  <c:v>107.628720309906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D27-465E-80C5-6FE97C38914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49757616"/>
        <c:axId val="449752520"/>
      </c:lineChart>
      <c:catAx>
        <c:axId val="44975761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49752520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449752520"/>
        <c:scaling>
          <c:orientation val="minMax"/>
          <c:max val="115"/>
          <c:min val="8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low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49757616"/>
        <c:crosses val="autoZero"/>
        <c:crossBetween val="between"/>
        <c:majorUnit val="10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738958333333335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Datos!$BK$27:$BK$49</c:f>
              <c:numCache>
                <c:formatCode>0.0</c:formatCode>
                <c:ptCount val="23"/>
                <c:pt idx="0">
                  <c:v>101.44038218628801</c:v>
                </c:pt>
                <c:pt idx="1">
                  <c:v>99.891138051033096</c:v>
                </c:pt>
                <c:pt idx="2">
                  <c:v>99.769297149282806</c:v>
                </c:pt>
                <c:pt idx="3">
                  <c:v>100.256412583659</c:v>
                </c:pt>
                <c:pt idx="4">
                  <c:v>99.815145331241396</c:v>
                </c:pt>
                <c:pt idx="5">
                  <c:v>80.061119420561099</c:v>
                </c:pt>
                <c:pt idx="6">
                  <c:v>91.209356902344695</c:v>
                </c:pt>
                <c:pt idx="7">
                  <c:v>94.623481118877294</c:v>
                </c:pt>
                <c:pt idx="8">
                  <c:v>98.026662909943795</c:v>
                </c:pt>
                <c:pt idx="9">
                  <c:v>98.715906810384695</c:v>
                </c:pt>
                <c:pt idx="10">
                  <c:v>98.008898892780707</c:v>
                </c:pt>
                <c:pt idx="11">
                  <c:v>98.630790283805595</c:v>
                </c:pt>
                <c:pt idx="12">
                  <c:v>99.324049070095796</c:v>
                </c:pt>
                <c:pt idx="13">
                  <c:v>100.74479529402301</c:v>
                </c:pt>
                <c:pt idx="14">
                  <c:v>101.690900574865</c:v>
                </c:pt>
                <c:pt idx="15">
                  <c:v>102.455586739083</c:v>
                </c:pt>
                <c:pt idx="16">
                  <c:v>104.45079509287</c:v>
                </c:pt>
                <c:pt idx="17">
                  <c:v>105.129556703785</c:v>
                </c:pt>
                <c:pt idx="18">
                  <c:v>108.279029137707</c:v>
                </c:pt>
                <c:pt idx="19">
                  <c:v>108.134114910473</c:v>
                </c:pt>
                <c:pt idx="20">
                  <c:v>108.16924733174901</c:v>
                </c:pt>
                <c:pt idx="21">
                  <c:v>109.34812424540701</c:v>
                </c:pt>
                <c:pt idx="22">
                  <c:v>111.015311167395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9CF-4BB9-803B-2B9240DA51C6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Datos!$BL$27:$BL$49</c:f>
              <c:numCache>
                <c:formatCode>0.0</c:formatCode>
                <c:ptCount val="23"/>
                <c:pt idx="0">
                  <c:v>101.01102280686101</c:v>
                </c:pt>
                <c:pt idx="1">
                  <c:v>100.184752286463</c:v>
                </c:pt>
                <c:pt idx="2">
                  <c:v>99.826860102751297</c:v>
                </c:pt>
                <c:pt idx="3">
                  <c:v>99.925475398114202</c:v>
                </c:pt>
                <c:pt idx="4">
                  <c:v>100.230253127102</c:v>
                </c:pt>
                <c:pt idx="5">
                  <c:v>93.815392558641406</c:v>
                </c:pt>
                <c:pt idx="6">
                  <c:v>94.919644419246197</c:v>
                </c:pt>
                <c:pt idx="7">
                  <c:v>96.194509418383404</c:v>
                </c:pt>
                <c:pt idx="8">
                  <c:v>97.844745951499405</c:v>
                </c:pt>
                <c:pt idx="9">
                  <c:v>98.515780239338</c:v>
                </c:pt>
                <c:pt idx="10">
                  <c:v>98.301333661454805</c:v>
                </c:pt>
                <c:pt idx="11">
                  <c:v>98.490277377964901</c:v>
                </c:pt>
                <c:pt idx="12">
                  <c:v>99.460493884378906</c:v>
                </c:pt>
                <c:pt idx="13">
                  <c:v>100.63499685223699</c:v>
                </c:pt>
                <c:pt idx="14">
                  <c:v>101.608756836843</c:v>
                </c:pt>
                <c:pt idx="15">
                  <c:v>102.70131567362699</c:v>
                </c:pt>
                <c:pt idx="16">
                  <c:v>104.22841036088199</c:v>
                </c:pt>
                <c:pt idx="17">
                  <c:v>105.92203113640601</c:v>
                </c:pt>
                <c:pt idx="18">
                  <c:v>107.30145377760201</c:v>
                </c:pt>
                <c:pt idx="19">
                  <c:v>108.022039904512</c:v>
                </c:pt>
                <c:pt idx="20">
                  <c:v>108.35100202781599</c:v>
                </c:pt>
                <c:pt idx="21">
                  <c:v>109.372151757273</c:v>
                </c:pt>
                <c:pt idx="22">
                  <c:v>110.924132677225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9CF-4BB9-803B-2B9240DA51C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49755264"/>
        <c:axId val="449758008"/>
      </c:lineChart>
      <c:catAx>
        <c:axId val="44975526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49758008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449758008"/>
        <c:scaling>
          <c:orientation val="minMax"/>
          <c:max val="115"/>
          <c:min val="7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49755264"/>
        <c:crosses val="autoZero"/>
        <c:crossBetween val="between"/>
        <c:majorUnit val="10"/>
      </c:valAx>
      <c:spPr>
        <a:noFill/>
        <a:ln w="3175">
          <a:noFill/>
          <a:prstDash val="solid"/>
        </a:ln>
        <a:effectLst/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3738958333333335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Datos!$BM$27:$BM$49</c:f>
              <c:numCache>
                <c:formatCode>0.0</c:formatCode>
                <c:ptCount val="23"/>
                <c:pt idx="0">
                  <c:v>96.474748207039298</c:v>
                </c:pt>
                <c:pt idx="1">
                  <c:v>95.555943376644805</c:v>
                </c:pt>
                <c:pt idx="2">
                  <c:v>96.551223815280096</c:v>
                </c:pt>
                <c:pt idx="3">
                  <c:v>96.810482218304699</c:v>
                </c:pt>
                <c:pt idx="4">
                  <c:v>98.670591884997805</c:v>
                </c:pt>
                <c:pt idx="5">
                  <c:v>79.262876968737004</c:v>
                </c:pt>
                <c:pt idx="6">
                  <c:v>96.309806881241997</c:v>
                </c:pt>
                <c:pt idx="7">
                  <c:v>96.538248777870805</c:v>
                </c:pt>
                <c:pt idx="8">
                  <c:v>95.383405292538498</c:v>
                </c:pt>
                <c:pt idx="9">
                  <c:v>96.624478614514103</c:v>
                </c:pt>
                <c:pt idx="10">
                  <c:v>98.934561998263405</c:v>
                </c:pt>
                <c:pt idx="11">
                  <c:v>99.558835314870606</c:v>
                </c:pt>
                <c:pt idx="12">
                  <c:v>97.664314636006495</c:v>
                </c:pt>
                <c:pt idx="13">
                  <c:v>98.930491285766294</c:v>
                </c:pt>
                <c:pt idx="14">
                  <c:v>100.84461336928</c:v>
                </c:pt>
                <c:pt idx="15">
                  <c:v>99.233222185319406</c:v>
                </c:pt>
                <c:pt idx="16">
                  <c:v>106.29120862065901</c:v>
                </c:pt>
                <c:pt idx="17">
                  <c:v>102.63903074504</c:v>
                </c:pt>
                <c:pt idx="18">
                  <c:v>99.2916915349265</c:v>
                </c:pt>
                <c:pt idx="19">
                  <c:v>98.192672167027595</c:v>
                </c:pt>
                <c:pt idx="20">
                  <c:v>103.431690236753</c:v>
                </c:pt>
                <c:pt idx="21">
                  <c:v>105.357206598049</c:v>
                </c:pt>
                <c:pt idx="22">
                  <c:v>106.739369624082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5F7-4B7C-8A5F-390905D90DE0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Datos!$BN$27:$BN$49</c:f>
              <c:numCache>
                <c:formatCode>0.0</c:formatCode>
                <c:ptCount val="23"/>
                <c:pt idx="0">
                  <c:v>96.807401593621606</c:v>
                </c:pt>
                <c:pt idx="1">
                  <c:v>95.742284931653899</c:v>
                </c:pt>
                <c:pt idx="2">
                  <c:v>96.185046917789506</c:v>
                </c:pt>
                <c:pt idx="3">
                  <c:v>97.303648534474505</c:v>
                </c:pt>
                <c:pt idx="4">
                  <c:v>98.183423395950001</c:v>
                </c:pt>
                <c:pt idx="5">
                  <c:v>97.756452576022497</c:v>
                </c:pt>
                <c:pt idx="6">
                  <c:v>96.695152397003596</c:v>
                </c:pt>
                <c:pt idx="7">
                  <c:v>96.036518161430905</c:v>
                </c:pt>
                <c:pt idx="8">
                  <c:v>95.758329375163896</c:v>
                </c:pt>
                <c:pt idx="9">
                  <c:v>96.729325401405802</c:v>
                </c:pt>
                <c:pt idx="10">
                  <c:v>98.793448151367201</c:v>
                </c:pt>
                <c:pt idx="11">
                  <c:v>99.080646572559701</c:v>
                </c:pt>
                <c:pt idx="12">
                  <c:v>98.265842984252203</c:v>
                </c:pt>
                <c:pt idx="13">
                  <c:v>98.847640552756403</c:v>
                </c:pt>
                <c:pt idx="14">
                  <c:v>100.660792087144</c:v>
                </c:pt>
                <c:pt idx="15">
                  <c:v>102.31638474909199</c:v>
                </c:pt>
                <c:pt idx="16">
                  <c:v>103.363270461296</c:v>
                </c:pt>
                <c:pt idx="17">
                  <c:v>102.21883058887499</c:v>
                </c:pt>
                <c:pt idx="18">
                  <c:v>99.691588609002594</c:v>
                </c:pt>
                <c:pt idx="19">
                  <c:v>99.797299261946094</c:v>
                </c:pt>
                <c:pt idx="20">
                  <c:v>102.750640832109</c:v>
                </c:pt>
                <c:pt idx="21">
                  <c:v>105.446778201623</c:v>
                </c:pt>
                <c:pt idx="22">
                  <c:v>106.644725244879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5F7-4B7C-8A5F-390905D90DE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50138896"/>
        <c:axId val="450136936"/>
      </c:lineChart>
      <c:catAx>
        <c:axId val="45013889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50136936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450136936"/>
        <c:scaling>
          <c:orientation val="minMax"/>
          <c:max val="110"/>
          <c:min val="7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450138896"/>
        <c:crosses val="autoZero"/>
        <c:crossBetween val="between"/>
        <c:majorUnit val="10"/>
      </c:valAx>
      <c:spPr>
        <a:noFill/>
        <a:ln w="3175">
          <a:noFill/>
          <a:prstDash val="solid"/>
        </a:ln>
        <a:effectLst/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8165295815295813"/>
          <c:y val="2.2825999999999999E-2"/>
          <c:w val="0.55954329004329006"/>
          <c:h val="0.9357444444444444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8989C"/>
            </a:solidFill>
            <a:ln>
              <a:noFill/>
            </a:ln>
            <a:effectLst/>
          </c:spPr>
          <c:invertIfNegative val="0"/>
          <c:dPt>
            <c:idx val="10"/>
            <c:invertIfNegative val="0"/>
            <c:bubble3D val="0"/>
            <c:spPr>
              <a:solidFill>
                <a:srgbClr val="08989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0E02-4530-B928-CBD9C4E0DD43}"/>
              </c:ext>
            </c:extLst>
          </c:dPt>
          <c:dPt>
            <c:idx val="11"/>
            <c:invertIfNegative val="0"/>
            <c:bubble3D val="0"/>
            <c:spPr>
              <a:solidFill>
                <a:srgbClr val="08989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0E02-4530-B928-CBD9C4E0DD43}"/>
              </c:ext>
            </c:extLst>
          </c:dPt>
          <c:dPt>
            <c:idx val="12"/>
            <c:invertIfNegative val="0"/>
            <c:bubble3D val="0"/>
            <c:spPr>
              <a:solidFill>
                <a:srgbClr val="08989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0E02-4530-B928-CBD9C4E0DD43}"/>
              </c:ext>
            </c:extLst>
          </c:dPt>
          <c:dPt>
            <c:idx val="13"/>
            <c:invertIfNegative val="0"/>
            <c:bubble3D val="0"/>
            <c:spPr>
              <a:solidFill>
                <a:srgbClr val="C0C0C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0E02-4530-B928-CBD9C4E0DD43}"/>
              </c:ext>
            </c:extLst>
          </c:dPt>
          <c:dPt>
            <c:idx val="14"/>
            <c:invertIfNegative val="0"/>
            <c:bubble3D val="0"/>
            <c:spPr>
              <a:solidFill>
                <a:srgbClr val="08989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0E02-4530-B928-CBD9C4E0DD43}"/>
              </c:ext>
            </c:extLst>
          </c:dPt>
          <c:dPt>
            <c:idx val="15"/>
            <c:invertIfNegative val="0"/>
            <c:bubble3D val="0"/>
            <c:spPr>
              <a:solidFill>
                <a:srgbClr val="08989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0E02-4530-B928-CBD9C4E0DD43}"/>
              </c:ext>
            </c:extLst>
          </c:dPt>
          <c:dPt>
            <c:idx val="16"/>
            <c:invertIfNegative val="0"/>
            <c:bubble3D val="0"/>
            <c:spPr>
              <a:solidFill>
                <a:srgbClr val="08989C"/>
              </a:solidFill>
              <a:ln>
                <a:noFill/>
              </a:ln>
              <a:effectLst>
                <a:outerShdw blurRad="50800" dist="50800" dir="5400000" algn="ctr" rotWithShape="0">
                  <a:schemeClr val="accent5">
                    <a:lumMod val="20000"/>
                    <a:lumOff val="80000"/>
                  </a:scheme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0E02-4530-B928-CBD9C4E0DD43}"/>
              </c:ext>
            </c:extLst>
          </c:dPt>
          <c:dPt>
            <c:idx val="17"/>
            <c:invertIfNegative val="0"/>
            <c:bubble3D val="0"/>
            <c:spPr>
              <a:solidFill>
                <a:srgbClr val="08989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0E02-4530-B928-CBD9C4E0DD43}"/>
              </c:ext>
            </c:extLst>
          </c:dPt>
          <c:dPt>
            <c:idx val="18"/>
            <c:invertIfNegative val="0"/>
            <c:bubble3D val="0"/>
            <c:spPr>
              <a:solidFill>
                <a:srgbClr val="08989C"/>
              </a:solidFill>
              <a:ln>
                <a:noFill/>
              </a:ln>
              <a:effectLst/>
              <a:sp3d>
                <a:contourClr>
                  <a:schemeClr val="tx2">
                    <a:lumMod val="60000"/>
                    <a:lumOff val="4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0E02-4530-B928-CBD9C4E0DD43}"/>
              </c:ext>
            </c:extLst>
          </c:dPt>
          <c:dPt>
            <c:idx val="19"/>
            <c:invertIfNegative val="0"/>
            <c:bubble3D val="0"/>
            <c:spPr>
              <a:solidFill>
                <a:srgbClr val="08989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0E02-4530-B928-CBD9C4E0DD43}"/>
              </c:ext>
            </c:extLst>
          </c:dPt>
          <c:dPt>
            <c:idx val="20"/>
            <c:invertIfNegative val="0"/>
            <c:bubble3D val="0"/>
            <c:spPr>
              <a:solidFill>
                <a:srgbClr val="08989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0E02-4530-B928-CBD9C4E0DD43}"/>
              </c:ext>
            </c:extLst>
          </c:dPt>
          <c:dPt>
            <c:idx val="21"/>
            <c:invertIfNegative val="0"/>
            <c:bubble3D val="0"/>
            <c:spPr>
              <a:solidFill>
                <a:srgbClr val="08989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7-0E02-4530-B928-CBD9C4E0DD43}"/>
              </c:ext>
            </c:extLst>
          </c:dPt>
          <c:dPt>
            <c:idx val="32"/>
            <c:invertIfNegative val="0"/>
            <c:bubble3D val="0"/>
            <c:spPr>
              <a:solidFill>
                <a:srgbClr val="08989C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9-0E02-4530-B928-CBD9C4E0DD43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87358252834943"/>
                      <c:h val="3.138901415989353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A-0E02-4530-B928-CBD9C4E0DD43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l">
                    <a:defRPr sz="900" b="0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s-MX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673666526669465"/>
                      <c:h val="3.138901415989353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B-0E02-4530-B928-CBD9C4E0DD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rgbClr val="4D565E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'Variaciones por EF'!$B$6:$B$38</c:f>
              <c:strCache>
                <c:ptCount val="33"/>
                <c:pt idx="0">
                  <c:v>Quintana Roo</c:v>
                </c:pt>
                <c:pt idx="1">
                  <c:v>Campeche</c:v>
                </c:pt>
                <c:pt idx="2">
                  <c:v>Tabasco</c:v>
                </c:pt>
                <c:pt idx="3">
                  <c:v>Aguascalientes</c:v>
                </c:pt>
                <c:pt idx="4">
                  <c:v>San Luis Potosí</c:v>
                </c:pt>
                <c:pt idx="5">
                  <c:v>Nayarit</c:v>
                </c:pt>
                <c:pt idx="6">
                  <c:v>Jalisco</c:v>
                </c:pt>
                <c:pt idx="7">
                  <c:v>Sonora</c:v>
                </c:pt>
                <c:pt idx="8">
                  <c:v>Sinaloa</c:v>
                </c:pt>
                <c:pt idx="9">
                  <c:v>Coahuila</c:v>
                </c:pt>
                <c:pt idx="10">
                  <c:v>Guerrero</c:v>
                </c:pt>
                <c:pt idx="11">
                  <c:v>Ciudad de México</c:v>
                </c:pt>
                <c:pt idx="12">
                  <c:v>Chihuahua</c:v>
                </c:pt>
                <c:pt idx="13">
                  <c:v>Nacional</c:v>
                </c:pt>
                <c:pt idx="14">
                  <c:v>Baja California</c:v>
                </c:pt>
                <c:pt idx="15">
                  <c:v>Michoacán</c:v>
                </c:pt>
                <c:pt idx="16">
                  <c:v>Colima</c:v>
                </c:pt>
                <c:pt idx="17">
                  <c:v>Tlaxcala</c:v>
                </c:pt>
                <c:pt idx="18">
                  <c:v>Querétaro</c:v>
                </c:pt>
                <c:pt idx="19">
                  <c:v>Morelos</c:v>
                </c:pt>
                <c:pt idx="20">
                  <c:v>Baja California Sur</c:v>
                </c:pt>
                <c:pt idx="21">
                  <c:v>México</c:v>
                </c:pt>
                <c:pt idx="22">
                  <c:v>Yucatán</c:v>
                </c:pt>
                <c:pt idx="23">
                  <c:v>Chiapas</c:v>
                </c:pt>
                <c:pt idx="24">
                  <c:v>Tamaulipas</c:v>
                </c:pt>
                <c:pt idx="25">
                  <c:v>Hidalgo</c:v>
                </c:pt>
                <c:pt idx="26">
                  <c:v>Veracruz</c:v>
                </c:pt>
                <c:pt idx="27">
                  <c:v>Puebla</c:v>
                </c:pt>
                <c:pt idx="28">
                  <c:v>Guanajuato</c:v>
                </c:pt>
                <c:pt idx="29">
                  <c:v>Durango</c:v>
                </c:pt>
                <c:pt idx="30">
                  <c:v>Nuevo León</c:v>
                </c:pt>
                <c:pt idx="31">
                  <c:v>Oaxaca</c:v>
                </c:pt>
                <c:pt idx="32">
                  <c:v>Zacatecas</c:v>
                </c:pt>
              </c:strCache>
            </c:strRef>
          </c:cat>
          <c:val>
            <c:numRef>
              <c:f>'Variaciones por EF'!$C$6:$C$38</c:f>
              <c:numCache>
                <c:formatCode>0.0</c:formatCode>
                <c:ptCount val="33"/>
                <c:pt idx="0">
                  <c:v>-13.694967911471565</c:v>
                </c:pt>
                <c:pt idx="1">
                  <c:v>-10.522471814367663</c:v>
                </c:pt>
                <c:pt idx="2">
                  <c:v>-6.8890770303599282</c:v>
                </c:pt>
                <c:pt idx="3">
                  <c:v>-1.1351389063198809</c:v>
                </c:pt>
                <c:pt idx="4">
                  <c:v>-1.0731940969037481</c:v>
                </c:pt>
                <c:pt idx="5">
                  <c:v>-0.83231033170248736</c:v>
                </c:pt>
                <c:pt idx="6">
                  <c:v>-5.967885742475687E-2</c:v>
                </c:pt>
                <c:pt idx="7">
                  <c:v>-5.9029909644564782E-2</c:v>
                </c:pt>
                <c:pt idx="8">
                  <c:v>0.45424695145557337</c:v>
                </c:pt>
                <c:pt idx="9">
                  <c:v>1.1449100652971538</c:v>
                </c:pt>
                <c:pt idx="10">
                  <c:v>1.1848190502671088</c:v>
                </c:pt>
                <c:pt idx="11">
                  <c:v>1.2874980403658469</c:v>
                </c:pt>
                <c:pt idx="12">
                  <c:v>1.4941599497263098</c:v>
                </c:pt>
                <c:pt idx="13">
                  <c:v>1.6883055762922936</c:v>
                </c:pt>
                <c:pt idx="14">
                  <c:v>1.7703208354306241</c:v>
                </c:pt>
                <c:pt idx="15">
                  <c:v>2.0186030558722052</c:v>
                </c:pt>
                <c:pt idx="16">
                  <c:v>2.0811376435362376</c:v>
                </c:pt>
                <c:pt idx="17">
                  <c:v>2.2239155720047421</c:v>
                </c:pt>
                <c:pt idx="18">
                  <c:v>2.4018963804975755</c:v>
                </c:pt>
                <c:pt idx="19">
                  <c:v>2.4124802611573273</c:v>
                </c:pt>
                <c:pt idx="20">
                  <c:v>2.4959506748050302</c:v>
                </c:pt>
                <c:pt idx="21">
                  <c:v>2.5881442946775479</c:v>
                </c:pt>
                <c:pt idx="22">
                  <c:v>2.7101309643191627</c:v>
                </c:pt>
                <c:pt idx="23">
                  <c:v>2.890886921196298</c:v>
                </c:pt>
                <c:pt idx="24">
                  <c:v>2.9798826740743038</c:v>
                </c:pt>
                <c:pt idx="25">
                  <c:v>3.3434606939809868</c:v>
                </c:pt>
                <c:pt idx="26">
                  <c:v>4.9598842284441389</c:v>
                </c:pt>
                <c:pt idx="27">
                  <c:v>5.2524888778078207</c:v>
                </c:pt>
                <c:pt idx="28">
                  <c:v>5.2940114937054119</c:v>
                </c:pt>
                <c:pt idx="29">
                  <c:v>5.7247941066525669</c:v>
                </c:pt>
                <c:pt idx="30">
                  <c:v>5.8958222994926359</c:v>
                </c:pt>
                <c:pt idx="31">
                  <c:v>6.5357841879576881</c:v>
                </c:pt>
                <c:pt idx="32">
                  <c:v>7.4521365723173858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v>Total</c:v>
                </c15:tx>
              </c15:filteredSeriesTitle>
            </c:ext>
            <c:ext xmlns:c16="http://schemas.microsoft.com/office/drawing/2014/chart" uri="{C3380CC4-5D6E-409C-BE32-E72D297353CC}">
              <c16:uniqueId val="{00000027-0E02-4530-B928-CBD9C4E0DD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499231128"/>
        <c:axId val="499231520"/>
      </c:barChart>
      <c:catAx>
        <c:axId val="499231128"/>
        <c:scaling>
          <c:orientation val="minMax"/>
        </c:scaling>
        <c:delete val="0"/>
        <c:axPos val="l"/>
        <c:numFmt formatCode="General" sourceLinked="0"/>
        <c:majorTickMark val="cross"/>
        <c:minorTickMark val="none"/>
        <c:tickLblPos val="low"/>
        <c:spPr>
          <a:noFill/>
          <a:ln w="6350" cap="flat" cmpd="sng" algn="ctr">
            <a:solidFill>
              <a:srgbClr val="C0C0C0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4D565E"/>
                </a:solidFill>
                <a:latin typeface="Arial" pitchFamily="34" charset="0"/>
                <a:ea typeface="+mn-ea"/>
                <a:cs typeface="Arial" pitchFamily="34" charset="0"/>
              </a:defRPr>
            </a:pPr>
            <a:endParaRPr lang="es-MX"/>
          </a:p>
        </c:txPr>
        <c:crossAx val="499231520"/>
        <c:crossesAt val="0"/>
        <c:auto val="1"/>
        <c:lblAlgn val="ctr"/>
        <c:lblOffset val="100"/>
        <c:noMultiLvlLbl val="0"/>
      </c:catAx>
      <c:valAx>
        <c:axId val="499231520"/>
        <c:scaling>
          <c:orientation val="minMax"/>
          <c:max val="9"/>
          <c:min val="-12"/>
        </c:scaling>
        <c:delete val="0"/>
        <c:axPos val="b"/>
        <c:numFmt formatCode="#,##0.0" sourceLinked="0"/>
        <c:majorTickMark val="out"/>
        <c:minorTickMark val="none"/>
        <c:tickLblPos val="nextTo"/>
        <c:spPr>
          <a:noFill/>
          <a:ln w="9525" cap="flat" cmpd="sng" algn="ctr">
            <a:solidFill>
              <a:srgbClr val="D8551E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4D565E"/>
                </a:solidFill>
                <a:latin typeface="Arial" pitchFamily="34" charset="0"/>
                <a:ea typeface="+mn-ea"/>
                <a:cs typeface="Arial" pitchFamily="34" charset="0"/>
              </a:defRPr>
            </a:pPr>
            <a:endParaRPr lang="es-MX"/>
          </a:p>
        </c:txPr>
        <c:crossAx val="499231128"/>
        <c:crosses val="autoZero"/>
        <c:crossBetween val="between"/>
        <c:majorUnit val="6"/>
        <c:min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6350" cap="flat" cmpd="sng" algn="ctr">
      <a:solidFill>
        <a:srgbClr val="C0C0C0"/>
      </a:solidFill>
      <a:prstDash val="solid"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6288134079838086"/>
          <c:y val="2.2274222222222223E-2"/>
          <c:w val="0.57513848148233893"/>
          <c:h val="0.9380566666666666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Contribuciones!$A$5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</c:spPr>
          <c:invertIfNegative val="0"/>
          <c:dLbls>
            <c:dLbl>
              <c:idx val="0"/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lIns="0" tIns="0" rIns="0" bIns="0" anchorCtr="0"/>
                <a:lstStyle/>
                <a:p>
                  <a:pPr algn="l">
                    <a:defRPr sz="900">
                      <a:solidFill>
                        <a:schemeClr val="bg1"/>
                      </a:solidFill>
                    </a:defRPr>
                  </a:pPr>
                  <a:endParaRPr lang="es-MX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20199512545182166"/>
                      <c:h val="2.028705014719214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7F0D-43EB-8CD3-910910CE45F4}"/>
                </c:ext>
              </c:extLst>
            </c:dLbl>
            <c:dLbl>
              <c:idx val="1"/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lIns="0" tIns="0" rIns="0" bIns="0" anchorCtr="0"/>
                <a:lstStyle/>
                <a:p>
                  <a:pPr algn="l">
                    <a:defRPr sz="900">
                      <a:solidFill>
                        <a:schemeClr val="bg1"/>
                      </a:solidFill>
                    </a:defRPr>
                  </a:pPr>
                  <a:endParaRPr lang="es-MX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20619504145350159"/>
                      <c:h val="2.499127218647239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F0D-43EB-8CD3-910910CE45F4}"/>
                </c:ext>
              </c:extLst>
            </c:dLbl>
            <c:dLbl>
              <c:idx val="2"/>
              <c:layout>
                <c:manualLayout>
                  <c:x val="-0.10919682393753699"/>
                  <c:y val="0"/>
                </c:manualLayout>
              </c:layout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lIns="0" tIns="0" rIns="0" bIns="0"/>
                <a:lstStyle/>
                <a:p>
                  <a:pPr>
                    <a:defRPr sz="900">
                      <a:solidFill>
                        <a:schemeClr val="bg1"/>
                      </a:solidFill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2-7F0D-43EB-8CD3-910910CE45F4}"/>
                </c:ext>
              </c:extLst>
            </c:dLbl>
            <c:dLbl>
              <c:idx val="4"/>
              <c:layout>
                <c:manualLayout>
                  <c:x val="3.9682539682539683E-7"/>
                  <c:y val="-1.034802860683865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F0D-43EB-8CD3-910910CE45F4}"/>
                </c:ext>
              </c:extLst>
            </c:dLbl>
            <c:dLbl>
              <c:idx val="5"/>
              <c:layout>
                <c:manualLayout>
                  <c:x val="-2.1838571102593619E-2"/>
                  <c:y val="9.2602795876337756E-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386327561327562"/>
                      <c:h val="2.78241203241203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7F0D-43EB-8CD3-910910CE45F4}"/>
                </c:ext>
              </c:extLst>
            </c:dLbl>
            <c:dLbl>
              <c:idx val="6"/>
              <c:layout>
                <c:manualLayout>
                  <c:x val="-0.10499690793585695"/>
                  <c:y val="-1.882059226896296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F0D-43EB-8CD3-910910CE45F4}"/>
                </c:ext>
              </c:extLst>
            </c:dLbl>
            <c:dLbl>
              <c:idx val="7"/>
              <c:layout>
                <c:manualLayout>
                  <c:x val="-0.10499723863790449"/>
                  <c:y val="-2.352111019640213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F0D-43EB-8CD3-910910CE45F4}"/>
                </c:ext>
              </c:extLst>
            </c:dLbl>
            <c:dLbl>
              <c:idx val="24"/>
              <c:layout>
                <c:manualLayout>
                  <c:x val="0"/>
                  <c:y val="-2.587007151709662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F0D-43EB-8CD3-910910CE45F4}"/>
                </c:ext>
              </c:extLst>
            </c:dLbl>
            <c:dLbl>
              <c:idx val="28"/>
              <c:layout>
                <c:manualLayout>
                  <c:x val="-8.3965249828861694E-4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F0D-43EB-8CD3-910910CE45F4}"/>
                </c:ext>
              </c:extLst>
            </c:dLbl>
            <c:dLbl>
              <c:idx val="29"/>
              <c:layout>
                <c:manualLayout>
                  <c:x val="-5.0395684999685834E-3"/>
                  <c:y val="-2.352111019640126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F0D-43EB-8CD3-910910CE45F4}"/>
                </c:ext>
              </c:extLst>
            </c:dLbl>
            <c:dLbl>
              <c:idx val="30"/>
              <c:layout>
                <c:manualLayout>
                  <c:x val="-1.6798671900577735E-2"/>
                  <c:y val="9.2602796043433705E-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096071428571428"/>
                      <c:h val="3.064644444444444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7F0D-43EB-8CD3-910910CE45F4}"/>
                </c:ext>
              </c:extLst>
            </c:dLbl>
            <c:dLbl>
              <c:idx val="31"/>
              <c:tx>
                <c:rich>
                  <a:bodyPr rot="0" lIns="0" tIns="0" rIns="0" bIns="0" anchorCtr="0"/>
                  <a:lstStyle/>
                  <a:p>
                    <a:pPr algn="r">
                      <a:defRPr sz="900">
                        <a:solidFill>
                          <a:schemeClr val="bg1"/>
                        </a:solidFill>
                      </a:defRPr>
                    </a:pPr>
                    <a:r>
                      <a:rPr lang="en-US" sz="900">
                        <a:solidFill>
                          <a:schemeClr val="bg1"/>
                        </a:solidFill>
                      </a:rPr>
                      <a:t>0.46</a:t>
                    </a:r>
                  </a:p>
                </c:rich>
              </c:tx>
              <c:numFmt formatCode="#,##0.00" sourceLinked="0"/>
              <c:spPr>
                <a:noFill/>
                <a:ln>
                  <a:noFill/>
                </a:ln>
                <a:effectLst/>
              </c:sp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4160231755994797"/>
                      <c:h val="2.4991272186472398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B-7F0D-43EB-8CD3-910910CE45F4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lIns="0" tIns="0" rIns="0" bIns="0"/>
              <a:lstStyle/>
              <a:p>
                <a:pPr>
                  <a:defRPr sz="900">
                    <a:solidFill>
                      <a:srgbClr val="4D565E"/>
                    </a:solidFill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Contribuciones!$A$7:$A$38</c:f>
              <c:strCache>
                <c:ptCount val="32"/>
                <c:pt idx="0">
                  <c:v>Quintana Roo</c:v>
                </c:pt>
                <c:pt idx="1">
                  <c:v>Campeche</c:v>
                </c:pt>
                <c:pt idx="2">
                  <c:v>Tabasco</c:v>
                </c:pt>
                <c:pt idx="3">
                  <c:v>San Luis Potosí</c:v>
                </c:pt>
                <c:pt idx="4">
                  <c:v>Aguascalientes</c:v>
                </c:pt>
                <c:pt idx="5">
                  <c:v>Nayarit</c:v>
                </c:pt>
                <c:pt idx="6">
                  <c:v>Jalisco</c:v>
                </c:pt>
                <c:pt idx="7">
                  <c:v>Sonora</c:v>
                </c:pt>
                <c:pt idx="8">
                  <c:v>Sinaloa</c:v>
                </c:pt>
                <c:pt idx="9">
                  <c:v>Tlaxcala</c:v>
                </c:pt>
                <c:pt idx="10">
                  <c:v>Colima</c:v>
                </c:pt>
                <c:pt idx="11">
                  <c:v>Guerrero</c:v>
                </c:pt>
                <c:pt idx="12">
                  <c:v>Baja California Sur</c:v>
                </c:pt>
                <c:pt idx="13">
                  <c:v>Morelos</c:v>
                </c:pt>
                <c:pt idx="14">
                  <c:v>Coahuila</c:v>
                </c:pt>
                <c:pt idx="15">
                  <c:v>Yucatán</c:v>
                </c:pt>
                <c:pt idx="16">
                  <c:v>Chiapas</c:v>
                </c:pt>
                <c:pt idx="17">
                  <c:v>Michoacán</c:v>
                </c:pt>
                <c:pt idx="18">
                  <c:v>Chihuahua</c:v>
                </c:pt>
                <c:pt idx="19">
                  <c:v>Querétaro</c:v>
                </c:pt>
                <c:pt idx="20">
                  <c:v>Hidalgo</c:v>
                </c:pt>
                <c:pt idx="21">
                  <c:v>Baja California</c:v>
                </c:pt>
                <c:pt idx="22">
                  <c:v>Zacatecas</c:v>
                </c:pt>
                <c:pt idx="23">
                  <c:v>Durango</c:v>
                </c:pt>
                <c:pt idx="24">
                  <c:v>Tamaulipas</c:v>
                </c:pt>
                <c:pt idx="25">
                  <c:v>Oaxaca</c:v>
                </c:pt>
                <c:pt idx="26">
                  <c:v>Puebla</c:v>
                </c:pt>
                <c:pt idx="27">
                  <c:v>Ciudad de México</c:v>
                </c:pt>
                <c:pt idx="28">
                  <c:v>Veracruz</c:v>
                </c:pt>
                <c:pt idx="29">
                  <c:v>México</c:v>
                </c:pt>
                <c:pt idx="30">
                  <c:v>Guanajuato</c:v>
                </c:pt>
                <c:pt idx="31">
                  <c:v>Nuevo León</c:v>
                </c:pt>
              </c:strCache>
            </c:strRef>
          </c:cat>
          <c:val>
            <c:numRef>
              <c:f>Contribuciones!$B$7:$B$38</c:f>
              <c:numCache>
                <c:formatCode>0.00</c:formatCode>
                <c:ptCount val="32"/>
                <c:pt idx="0">
                  <c:v>-0.24117793724512696</c:v>
                </c:pt>
                <c:pt idx="1">
                  <c:v>-0.21977563546159076</c:v>
                </c:pt>
                <c:pt idx="2">
                  <c:v>-0.18405090829406925</c:v>
                </c:pt>
                <c:pt idx="3">
                  <c:v>-2.5294157199243553E-2</c:v>
                </c:pt>
                <c:pt idx="4">
                  <c:v>-1.5217978889990586E-2</c:v>
                </c:pt>
                <c:pt idx="5">
                  <c:v>-5.4416848561796901E-3</c:v>
                </c:pt>
                <c:pt idx="6">
                  <c:v>-4.2744842099873507E-3</c:v>
                </c:pt>
                <c:pt idx="7">
                  <c:v>-1.9415661846605302E-3</c:v>
                </c:pt>
                <c:pt idx="8">
                  <c:v>9.1274100089973696E-3</c:v>
                </c:pt>
                <c:pt idx="9">
                  <c:v>1.2873124594334375E-2</c:v>
                </c:pt>
                <c:pt idx="10">
                  <c:v>1.2961825470474234E-2</c:v>
                </c:pt>
                <c:pt idx="11">
                  <c:v>1.5399036700452923E-2</c:v>
                </c:pt>
                <c:pt idx="12">
                  <c:v>1.8194490246625776E-2</c:v>
                </c:pt>
                <c:pt idx="13">
                  <c:v>2.5273593913957032E-2</c:v>
                </c:pt>
                <c:pt idx="14">
                  <c:v>4.1842691160129765E-2</c:v>
                </c:pt>
                <c:pt idx="15">
                  <c:v>4.3260273566129763E-2</c:v>
                </c:pt>
                <c:pt idx="16">
                  <c:v>4.3672423864464086E-2</c:v>
                </c:pt>
                <c:pt idx="17">
                  <c:v>5.2904228775179793E-2</c:v>
                </c:pt>
                <c:pt idx="18">
                  <c:v>5.7445470099957527E-2</c:v>
                </c:pt>
                <c:pt idx="19">
                  <c:v>5.9431277343033023E-2</c:v>
                </c:pt>
                <c:pt idx="20">
                  <c:v>6.1325834114496589E-2</c:v>
                </c:pt>
                <c:pt idx="21">
                  <c:v>6.6516043985287501E-2</c:v>
                </c:pt>
                <c:pt idx="22">
                  <c:v>6.782199664240196E-2</c:v>
                </c:pt>
                <c:pt idx="23">
                  <c:v>7.2818585335647945E-2</c:v>
                </c:pt>
                <c:pt idx="24">
                  <c:v>9.0165072130720739E-2</c:v>
                </c:pt>
                <c:pt idx="25">
                  <c:v>0.12062083302038727</c:v>
                </c:pt>
                <c:pt idx="26">
                  <c:v>0.17950778551621657</c:v>
                </c:pt>
                <c:pt idx="27">
                  <c:v>0.19537762470602307</c:v>
                </c:pt>
                <c:pt idx="28">
                  <c:v>0.20641324031709599</c:v>
                </c:pt>
                <c:pt idx="29">
                  <c:v>0.2313776562429305</c:v>
                </c:pt>
                <c:pt idx="30">
                  <c:v>0.23631148089727719</c:v>
                </c:pt>
                <c:pt idx="31">
                  <c:v>0.46483793005295843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F0D-43EB-8CD3-910910CE45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417157528"/>
        <c:axId val="417157920"/>
      </c:barChart>
      <c:catAx>
        <c:axId val="417157528"/>
        <c:scaling>
          <c:orientation val="minMax"/>
        </c:scaling>
        <c:delete val="0"/>
        <c:axPos val="l"/>
        <c:numFmt formatCode="General" sourceLinked="0"/>
        <c:majorTickMark val="cross"/>
        <c:minorTickMark val="none"/>
        <c:tickLblPos val="low"/>
        <c:spPr>
          <a:ln w="6350">
            <a:solidFill>
              <a:srgbClr val="C0C0C0"/>
            </a:solidFill>
          </a:ln>
        </c:spPr>
        <c:txPr>
          <a:bodyPr/>
          <a:lstStyle/>
          <a:p>
            <a:pPr>
              <a:defRPr sz="900">
                <a:solidFill>
                  <a:srgbClr val="4D565E"/>
                </a:solidFill>
              </a:defRPr>
            </a:pPr>
            <a:endParaRPr lang="es-MX"/>
          </a:p>
        </c:txPr>
        <c:crossAx val="417157920"/>
        <c:crosses val="autoZero"/>
        <c:auto val="1"/>
        <c:lblAlgn val="ctr"/>
        <c:lblOffset val="100"/>
        <c:noMultiLvlLbl val="0"/>
      </c:catAx>
      <c:valAx>
        <c:axId val="417157920"/>
        <c:scaling>
          <c:orientation val="minMax"/>
          <c:max val="0.32000000000000006"/>
          <c:min val="-0.2"/>
        </c:scaling>
        <c:delete val="0"/>
        <c:axPos val="b"/>
        <c:numFmt formatCode="#,##0.00" sourceLinked="0"/>
        <c:majorTickMark val="out"/>
        <c:minorTickMark val="none"/>
        <c:tickLblPos val="nextTo"/>
        <c:spPr>
          <a:ln w="9525">
            <a:solidFill>
              <a:srgbClr val="D8551E"/>
            </a:solidFill>
          </a:ln>
        </c:spPr>
        <c:txPr>
          <a:bodyPr/>
          <a:lstStyle/>
          <a:p>
            <a:pPr>
              <a:defRPr sz="900">
                <a:solidFill>
                  <a:srgbClr val="4D565E"/>
                </a:solidFill>
              </a:defRPr>
            </a:pPr>
            <a:endParaRPr lang="es-MX"/>
          </a:p>
        </c:txPr>
        <c:crossAx val="417157528"/>
        <c:crosses val="autoZero"/>
        <c:crossBetween val="between"/>
        <c:majorUnit val="0.1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 w="6350">
      <a:solidFill>
        <a:srgbClr val="C0C0C0"/>
      </a:solidFill>
    </a:ln>
    <a:effectLst/>
  </c:spPr>
  <c:txPr>
    <a:bodyPr/>
    <a:lstStyle/>
    <a:p>
      <a:pPr>
        <a:defRPr sz="75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5700317460317458"/>
          <c:y val="1.9088888888888891E-2"/>
          <c:w val="0.55954329004329006"/>
          <c:h val="0.95115832207437667"/>
        </c:manualLayout>
      </c:layout>
      <c:barChart>
        <c:barDir val="bar"/>
        <c:grouping val="clustered"/>
        <c:varyColors val="0"/>
        <c:ser>
          <c:idx val="0"/>
          <c:order val="0"/>
          <c:tx>
            <c:v>Primarias</c:v>
          </c:tx>
          <c:spPr>
            <a:solidFill>
              <a:srgbClr val="08989C"/>
            </a:solidFill>
            <a:ln w="0">
              <a:noFill/>
            </a:ln>
            <a:effectLst/>
          </c:spPr>
          <c:invertIfNegative val="0"/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5A60-4BAB-ACD5-35F297340917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5A60-4BAB-ACD5-35F297340917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5A60-4BAB-ACD5-35F297340917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5A60-4BAB-ACD5-35F297340917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5A60-4BAB-ACD5-35F297340917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5A60-4BAB-ACD5-35F297340917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5A60-4BAB-ACD5-35F297340917}"/>
              </c:ext>
            </c:extLst>
          </c:dPt>
          <c:dPt>
            <c:idx val="18"/>
            <c:invertIfNegative val="0"/>
            <c:bubble3D val="0"/>
            <c:spPr>
              <a:solidFill>
                <a:srgbClr val="C0C0C0"/>
              </a:solidFill>
              <a:ln w="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5A60-4BAB-ACD5-35F297340917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5A60-4BAB-ACD5-35F297340917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5A60-4BAB-ACD5-35F297340917}"/>
              </c:ext>
            </c:extLst>
          </c:dPt>
          <c:dPt>
            <c:idx val="2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5A60-4BAB-ACD5-35F297340917}"/>
              </c:ext>
            </c:extLst>
          </c:dPt>
          <c:dLbls>
            <c:dLbl>
              <c:idx val="0"/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 anchorCtr="0">
                  <a:spAutoFit/>
                </a:bodyPr>
                <a:lstStyle/>
                <a:p>
                  <a:pPr algn="l">
                    <a:defRPr sz="900">
                      <a:solidFill>
                        <a:schemeClr val="bg1"/>
                      </a:solidFill>
                    </a:defRPr>
                  </a:pPr>
                  <a:endParaRPr lang="es-MX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853842923141533"/>
                      <c:h val="3.138901415989353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5A60-4BAB-ACD5-35F297340917}"/>
                </c:ext>
              </c:extLst>
            </c:dLbl>
            <c:dLbl>
              <c:idx val="1"/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 anchorCtr="0">
                  <a:spAutoFit/>
                </a:bodyPr>
                <a:lstStyle/>
                <a:p>
                  <a:pPr algn="l">
                    <a:defRPr sz="900">
                      <a:solidFill>
                        <a:schemeClr val="bg1"/>
                      </a:solidFill>
                    </a:defRPr>
                  </a:pPr>
                  <a:endParaRPr lang="es-MX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013859722805544"/>
                      <c:h val="3.138901415989353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5A60-4BAB-ACD5-35F297340917}"/>
                </c:ext>
              </c:extLst>
            </c:dLbl>
            <c:dLbl>
              <c:idx val="2"/>
              <c:layout>
                <c:manualLayout>
                  <c:x val="-7.7853174603174603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A60-4BAB-ACD5-35F297340917}"/>
                </c:ext>
              </c:extLst>
            </c:dLbl>
            <c:dLbl>
              <c:idx val="3"/>
              <c:layout>
                <c:manualLayout>
                  <c:x val="-1.2821825396825397E-2"/>
                  <c:y val="-7.020000000001034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A60-4BAB-ACD5-35F297340917}"/>
                </c:ext>
              </c:extLst>
            </c:dLbl>
            <c:dLbl>
              <c:idx val="4"/>
              <c:layout>
                <c:manualLayout>
                  <c:x val="-3.1984126984126982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5A60-4BAB-ACD5-35F297340917}"/>
                </c:ext>
              </c:extLst>
            </c:dLbl>
            <c:dLbl>
              <c:idx val="5"/>
              <c:layout>
                <c:manualLayout>
                  <c:x val="-3.2000000000000002E-3"/>
                  <c:y val="-7.020000000001034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A60-4BAB-ACD5-35F297340917}"/>
                </c:ext>
              </c:extLst>
            </c:dLbl>
            <c:dLbl>
              <c:idx val="6"/>
              <c:layout>
                <c:manualLayout>
                  <c:x val="-3.2007936507936507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5A60-4BAB-ACD5-35F297340917}"/>
                </c:ext>
              </c:extLst>
            </c:dLbl>
            <c:dLbl>
              <c:idx val="7"/>
              <c:layout>
                <c:manualLayout>
                  <c:x val="-5.8972222222223149E-3"/>
                  <c:y val="-2.11311111111121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4540079365079382E-2"/>
                      <c:h val="3.064644444444444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5A60-4BAB-ACD5-35F297340917}"/>
                </c:ext>
              </c:extLst>
            </c:dLbl>
            <c:dLbl>
              <c:idx val="8"/>
              <c:layout>
                <c:manualLayout>
                  <c:x val="-6.1285714285714285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A60-4BAB-ACD5-35F297340917}"/>
                </c:ext>
              </c:extLst>
            </c:dLbl>
            <c:dLbl>
              <c:idx val="9"/>
              <c:layout>
                <c:manualLayout>
                  <c:x val="-1.4961291325354672E-2"/>
                  <c:y val="-7.019291940500851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7442063492063496E-2"/>
                      <c:h val="3.357044444444444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5A60-4BAB-ACD5-35F297340917}"/>
                </c:ext>
              </c:extLst>
            </c:dLbl>
            <c:dLbl>
              <c:idx val="10"/>
              <c:layout>
                <c:manualLayout>
                  <c:x val="-1.7479587416125771E-2"/>
                  <c:y val="2.12004841274168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507738095238095"/>
                      <c:h val="4.192111111111110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5A60-4BAB-ACD5-35F297340917}"/>
                </c:ext>
              </c:extLst>
            </c:dLbl>
            <c:dLbl>
              <c:idx val="11"/>
              <c:layout>
                <c:manualLayout>
                  <c:x val="-3.2519841269841271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A60-4BAB-ACD5-35F297340917}"/>
                </c:ext>
              </c:extLst>
            </c:dLbl>
            <c:dLbl>
              <c:idx val="12"/>
              <c:layout>
                <c:manualLayout>
                  <c:x val="-3.6611111111112035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5A60-4BAB-ACD5-35F297340917}"/>
                </c:ext>
              </c:extLst>
            </c:dLbl>
            <c:dLbl>
              <c:idx val="13"/>
              <c:layout>
                <c:manualLayout>
                  <c:x val="-3.6611111111111111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A60-4BAB-ACD5-35F297340917}"/>
                </c:ext>
              </c:extLst>
            </c:dLbl>
            <c:dLbl>
              <c:idx val="14"/>
              <c:layout>
                <c:manualLayout>
                  <c:x val="-3.6626984126984126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A60-4BAB-ACD5-35F297340917}"/>
                </c:ext>
              </c:extLst>
            </c:dLbl>
            <c:dLbl>
              <c:idx val="15"/>
              <c:layout>
                <c:manualLayout>
                  <c:x val="-3.6634920634920636E-3"/>
                  <c:y val="-3.52422222222232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A60-4BAB-ACD5-35F297340917}"/>
                </c:ext>
              </c:extLst>
            </c:dLbl>
            <c:dLbl>
              <c:idx val="16"/>
              <c:layout>
                <c:manualLayout>
                  <c:x val="-3.6642857142857141E-3"/>
                  <c:y val="-1.03480286068386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A60-4BAB-ACD5-35F297340917}"/>
                </c:ext>
              </c:extLst>
            </c:dLbl>
            <c:dLbl>
              <c:idx val="17"/>
              <c:layout>
                <c:manualLayout>
                  <c:x val="-3.6650793650794575E-3"/>
                  <c:y val="-5.1740143034193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A60-4BAB-ACD5-35F297340917}"/>
                </c:ext>
              </c:extLst>
            </c:dLbl>
            <c:dLbl>
              <c:idx val="18"/>
              <c:layout>
                <c:manualLayout>
                  <c:x val="-3.6650793650793651E-3"/>
                  <c:y val="-5.1740143034193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A60-4BAB-ACD5-35F297340917}"/>
                </c:ext>
              </c:extLst>
            </c:dLbl>
            <c:dLbl>
              <c:idx val="19"/>
              <c:layout>
                <c:manualLayout>
                  <c:x val="-3.6650793650794575E-3"/>
                  <c:y val="-5.1740143034193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A60-4BAB-ACD5-35F297340917}"/>
                </c:ext>
              </c:extLst>
            </c:dLbl>
            <c:dLbl>
              <c:idx val="20"/>
              <c:layout>
                <c:manualLayout>
                  <c:x val="-3.6650793650793651E-3"/>
                  <c:y val="-5.1740143034193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A60-4BAB-ACD5-35F297340917}"/>
                </c:ext>
              </c:extLst>
            </c:dLbl>
            <c:dLbl>
              <c:idx val="21"/>
              <c:layout>
                <c:manualLayout>
                  <c:x val="-3.665079365079365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5A60-4BAB-ACD5-35F297340917}"/>
                </c:ext>
              </c:extLst>
            </c:dLbl>
            <c:dLbl>
              <c:idx val="22"/>
              <c:layout>
                <c:manualLayout>
                  <c:x val="-3.6650793650793651E-3"/>
                  <c:y val="-5.1740143034193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5A60-4BAB-ACD5-35F297340917}"/>
                </c:ext>
              </c:extLst>
            </c:dLbl>
            <c:dLbl>
              <c:idx val="23"/>
              <c:layout>
                <c:manualLayout>
                  <c:x val="-3.6650793650794575E-3"/>
                  <c:y val="-5.1740143034193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A60-4BAB-ACD5-35F297340917}"/>
                </c:ext>
              </c:extLst>
            </c:dLbl>
            <c:dLbl>
              <c:idx val="24"/>
              <c:layout>
                <c:manualLayout>
                  <c:x val="-3.6650793650793651E-3"/>
                  <c:y val="-2.82222222222227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5A60-4BAB-ACD5-35F297340917}"/>
                </c:ext>
              </c:extLst>
            </c:dLbl>
            <c:dLbl>
              <c:idx val="25"/>
              <c:layout>
                <c:manualLayout>
                  <c:x val="-7.8650867927523346E-3"/>
                  <c:y val="-2.8221628123839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5A60-4BAB-ACD5-35F297340917}"/>
                </c:ext>
              </c:extLst>
            </c:dLbl>
            <c:dLbl>
              <c:idx val="26"/>
              <c:layout>
                <c:manualLayout>
                  <c:x val="-1.2065002794432454E-2"/>
                  <c:y val="-4.700517927438300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5A60-4BAB-ACD5-35F297340917}"/>
                </c:ext>
              </c:extLst>
            </c:dLbl>
            <c:dLbl>
              <c:idx val="27"/>
              <c:layout>
                <c:manualLayout>
                  <c:x val="-2.4587697222433657E-2"/>
                  <c:y val="-3.507793914329449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82845238095238"/>
                      <c:h val="3.557466666666665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C-5A60-4BAB-ACD5-35F297340917}"/>
                </c:ext>
              </c:extLst>
            </c:dLbl>
            <c:dLbl>
              <c:idx val="28"/>
              <c:layout>
                <c:manualLayout>
                  <c:x val="-2.1304487296081004E-2"/>
                  <c:y val="-2.156076860819568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5A60-4BAB-ACD5-35F297340917}"/>
                </c:ext>
              </c:extLst>
            </c:dLbl>
            <c:dLbl>
              <c:idx val="29"/>
              <c:layout>
                <c:manualLayout>
                  <c:x val="-2.130448729608100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5A60-4BAB-ACD5-35F297340917}"/>
                </c:ext>
              </c:extLst>
            </c:dLbl>
            <c:dLbl>
              <c:idx val="30"/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 anchorCtr="0">
                  <a:noAutofit/>
                </a:bodyPr>
                <a:lstStyle/>
                <a:p>
                  <a:pPr algn="r">
                    <a:defRPr sz="900">
                      <a:solidFill>
                        <a:schemeClr val="bg1"/>
                      </a:solidFill>
                    </a:defRPr>
                  </a:pPr>
                  <a:endParaRPr lang="es-MX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15766220108667"/>
                      <c:h val="2.90369031402534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F-5A60-4BAB-ACD5-35F297340917}"/>
                </c:ext>
              </c:extLst>
            </c:dLbl>
            <c:dLbl>
              <c:idx val="31"/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 anchorCtr="0">
                  <a:noAutofit/>
                </a:bodyPr>
                <a:lstStyle/>
                <a:p>
                  <a:pPr algn="r">
                    <a:defRPr sz="900">
                      <a:solidFill>
                        <a:schemeClr val="bg1"/>
                      </a:solidFill>
                    </a:defRPr>
                  </a:pPr>
                  <a:endParaRPr lang="es-MX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615724220948653"/>
                      <c:h val="2.433268110097316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0-5A60-4BAB-ACD5-35F297340917}"/>
                </c:ext>
              </c:extLst>
            </c:dLbl>
            <c:dLbl>
              <c:idx val="32"/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 anchorCtr="0">
                  <a:noAutofit/>
                </a:bodyPr>
                <a:lstStyle/>
                <a:p>
                  <a:pPr algn="r">
                    <a:defRPr sz="900">
                      <a:solidFill>
                        <a:schemeClr val="bg1"/>
                      </a:solidFill>
                    </a:defRPr>
                  </a:pPr>
                  <a:endParaRPr lang="es-MX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588385082692043"/>
                      <c:h val="2.934341839517502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1-5A60-4BAB-ACD5-35F297340917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solidFill>
                      <a:srgbClr val="4D565E"/>
                    </a:solidFill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'Variaciones por EF'!$F$6:$F$38</c:f>
              <c:strCache>
                <c:ptCount val="33"/>
                <c:pt idx="0">
                  <c:v>Sinaloa</c:v>
                </c:pt>
                <c:pt idx="1">
                  <c:v>Tamaulipas</c:v>
                </c:pt>
                <c:pt idx="2">
                  <c:v>Guanajuato</c:v>
                </c:pt>
                <c:pt idx="3">
                  <c:v>Tlaxcala</c:v>
                </c:pt>
                <c:pt idx="4">
                  <c:v>Aguascalientes</c:v>
                </c:pt>
                <c:pt idx="5">
                  <c:v>Jalisco</c:v>
                </c:pt>
                <c:pt idx="6">
                  <c:v>Coahuila</c:v>
                </c:pt>
                <c:pt idx="7">
                  <c:v>Nayarit</c:v>
                </c:pt>
                <c:pt idx="8">
                  <c:v>Oaxaca</c:v>
                </c:pt>
                <c:pt idx="9">
                  <c:v>San Luis Potosí</c:v>
                </c:pt>
                <c:pt idx="10">
                  <c:v>Querétaro</c:v>
                </c:pt>
                <c:pt idx="11">
                  <c:v>Guerrero</c:v>
                </c:pt>
                <c:pt idx="12">
                  <c:v>Sonora</c:v>
                </c:pt>
                <c:pt idx="13">
                  <c:v>Chiapas</c:v>
                </c:pt>
                <c:pt idx="14">
                  <c:v>Puebla</c:v>
                </c:pt>
                <c:pt idx="15">
                  <c:v>México</c:v>
                </c:pt>
                <c:pt idx="16">
                  <c:v>Colima</c:v>
                </c:pt>
                <c:pt idx="17">
                  <c:v>Tabasco</c:v>
                </c:pt>
                <c:pt idx="18">
                  <c:v>Nacional</c:v>
                </c:pt>
                <c:pt idx="19">
                  <c:v>Chihuahua</c:v>
                </c:pt>
                <c:pt idx="20">
                  <c:v>Yucatán</c:v>
                </c:pt>
                <c:pt idx="21">
                  <c:v>Veracruz</c:v>
                </c:pt>
                <c:pt idx="22">
                  <c:v>Morelos</c:v>
                </c:pt>
                <c:pt idx="23">
                  <c:v>Baja California</c:v>
                </c:pt>
                <c:pt idx="24">
                  <c:v>Campeche</c:v>
                </c:pt>
                <c:pt idx="25">
                  <c:v>Quintana Roo</c:v>
                </c:pt>
                <c:pt idx="26">
                  <c:v>Nuevo León</c:v>
                </c:pt>
                <c:pt idx="27">
                  <c:v>Durango</c:v>
                </c:pt>
                <c:pt idx="28">
                  <c:v>Michoacán</c:v>
                </c:pt>
                <c:pt idx="29">
                  <c:v>Baja California Sur</c:v>
                </c:pt>
                <c:pt idx="30">
                  <c:v>Ciudad de México</c:v>
                </c:pt>
                <c:pt idx="31">
                  <c:v>Hidalgo</c:v>
                </c:pt>
                <c:pt idx="32">
                  <c:v>Zacatecas</c:v>
                </c:pt>
              </c:strCache>
            </c:strRef>
          </c:cat>
          <c:val>
            <c:numRef>
              <c:f>'Variaciones por EF'!$G$6:$G$38</c:f>
              <c:numCache>
                <c:formatCode>0.0</c:formatCode>
                <c:ptCount val="33"/>
                <c:pt idx="0">
                  <c:v>-17.268937266401437</c:v>
                </c:pt>
                <c:pt idx="1">
                  <c:v>-16.152834599798808</c:v>
                </c:pt>
                <c:pt idx="2">
                  <c:v>-4.1248825490330745</c:v>
                </c:pt>
                <c:pt idx="3">
                  <c:v>-3.8052950738632632</c:v>
                </c:pt>
                <c:pt idx="4">
                  <c:v>-2.7534343223536837</c:v>
                </c:pt>
                <c:pt idx="5">
                  <c:v>-1.5284441190654974</c:v>
                </c:pt>
                <c:pt idx="6">
                  <c:v>-0.73880408401332431</c:v>
                </c:pt>
                <c:pt idx="7">
                  <c:v>-0.12042373713281052</c:v>
                </c:pt>
                <c:pt idx="8">
                  <c:v>3.9618290943494117E-2</c:v>
                </c:pt>
                <c:pt idx="9">
                  <c:v>1.2239818085211454</c:v>
                </c:pt>
                <c:pt idx="10">
                  <c:v>1.3599891550557714</c:v>
                </c:pt>
                <c:pt idx="11">
                  <c:v>1.3635131915227419</c:v>
                </c:pt>
                <c:pt idx="12">
                  <c:v>1.5852039114638785</c:v>
                </c:pt>
                <c:pt idx="13">
                  <c:v>2.2646704280599295</c:v>
                </c:pt>
                <c:pt idx="14">
                  <c:v>2.2677782054328475</c:v>
                </c:pt>
                <c:pt idx="15">
                  <c:v>2.3753862556553855</c:v>
                </c:pt>
                <c:pt idx="16">
                  <c:v>2.6821746414065046</c:v>
                </c:pt>
                <c:pt idx="17">
                  <c:v>3.0912835951015296</c:v>
                </c:pt>
                <c:pt idx="18">
                  <c:v>4.1137535699748327</c:v>
                </c:pt>
                <c:pt idx="19">
                  <c:v>4.1840603528211915</c:v>
                </c:pt>
                <c:pt idx="20">
                  <c:v>4.3836161476347826</c:v>
                </c:pt>
                <c:pt idx="21">
                  <c:v>4.6332520074067389</c:v>
                </c:pt>
                <c:pt idx="22">
                  <c:v>5.1010588887592974</c:v>
                </c:pt>
                <c:pt idx="23">
                  <c:v>6.3479555881672241</c:v>
                </c:pt>
                <c:pt idx="24">
                  <c:v>7.4584022377192269</c:v>
                </c:pt>
                <c:pt idx="25">
                  <c:v>11.096560427087582</c:v>
                </c:pt>
                <c:pt idx="26">
                  <c:v>14.025549963406675</c:v>
                </c:pt>
                <c:pt idx="27">
                  <c:v>15.540402392945822</c:v>
                </c:pt>
                <c:pt idx="28">
                  <c:v>16.756094053151244</c:v>
                </c:pt>
                <c:pt idx="29">
                  <c:v>16.8035861799342</c:v>
                </c:pt>
                <c:pt idx="30">
                  <c:v>26.551440038536313</c:v>
                </c:pt>
                <c:pt idx="31">
                  <c:v>27.892133034176254</c:v>
                </c:pt>
                <c:pt idx="32">
                  <c:v>28.571516540837194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5A60-4BAB-ACD5-35F2973409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axId val="499233088"/>
        <c:axId val="499244848"/>
      </c:barChart>
      <c:catAx>
        <c:axId val="499233088"/>
        <c:scaling>
          <c:orientation val="minMax"/>
        </c:scaling>
        <c:delete val="0"/>
        <c:axPos val="l"/>
        <c:numFmt formatCode="General" sourceLinked="0"/>
        <c:majorTickMark val="cross"/>
        <c:minorTickMark val="none"/>
        <c:tickLblPos val="low"/>
        <c:spPr>
          <a:ln w="6350">
            <a:solidFill>
              <a:srgbClr val="C0C0C0"/>
            </a:solidFill>
          </a:ln>
        </c:spPr>
        <c:txPr>
          <a:bodyPr/>
          <a:lstStyle/>
          <a:p>
            <a:pPr>
              <a:defRPr sz="900">
                <a:solidFill>
                  <a:srgbClr val="4D565E"/>
                </a:solidFill>
              </a:defRPr>
            </a:pPr>
            <a:endParaRPr lang="es-MX"/>
          </a:p>
        </c:txPr>
        <c:crossAx val="499244848"/>
        <c:crosses val="autoZero"/>
        <c:auto val="1"/>
        <c:lblAlgn val="ctr"/>
        <c:lblOffset val="100"/>
        <c:noMultiLvlLbl val="0"/>
      </c:catAx>
      <c:valAx>
        <c:axId val="499244848"/>
        <c:scaling>
          <c:orientation val="minMax"/>
          <c:max val="30"/>
          <c:min val="-20"/>
        </c:scaling>
        <c:delete val="0"/>
        <c:axPos val="b"/>
        <c:numFmt formatCode="#,##0.0" sourceLinked="0"/>
        <c:majorTickMark val="out"/>
        <c:minorTickMark val="none"/>
        <c:tickLblPos val="nextTo"/>
        <c:spPr>
          <a:ln w="9525">
            <a:solidFill>
              <a:srgbClr val="D8551E">
                <a:alpha val="94902"/>
              </a:srgbClr>
            </a:solidFill>
          </a:ln>
        </c:spPr>
        <c:txPr>
          <a:bodyPr/>
          <a:lstStyle/>
          <a:p>
            <a:pPr>
              <a:defRPr sz="900">
                <a:solidFill>
                  <a:srgbClr val="4D565E"/>
                </a:solidFill>
              </a:defRPr>
            </a:pPr>
            <a:endParaRPr lang="es-MX"/>
          </a:p>
        </c:txPr>
        <c:crossAx val="499233088"/>
        <c:crosses val="autoZero"/>
        <c:crossBetween val="between"/>
        <c:majorUnit val="10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 w="6350">
      <a:solidFill>
        <a:srgbClr val="C0C0C0"/>
      </a:solidFill>
    </a:ln>
    <a:effectLst/>
  </c:spPr>
  <c:txPr>
    <a:bodyPr/>
    <a:lstStyle/>
    <a:p>
      <a:pPr>
        <a:defRPr sz="75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586814247967009"/>
          <c:y val="2.2274222222222223E-2"/>
          <c:w val="0.57933839748401883"/>
          <c:h val="0.9380566666666666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Contribuciones!$D$5</c:f>
              <c:strCache>
                <c:ptCount val="1"/>
                <c:pt idx="0">
                  <c:v>Primarias</c:v>
                </c:pt>
              </c:strCache>
            </c:strRef>
          </c:tx>
          <c:spPr>
            <a:solidFill>
              <a:srgbClr val="08989C"/>
            </a:solidFill>
            <a:ln>
              <a:noFill/>
            </a:ln>
          </c:spPr>
          <c:invertIfNegative val="0"/>
          <c:dLbls>
            <c:dLbl>
              <c:idx val="0"/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lIns="0" tIns="0" rIns="0" bIns="0" anchorCtr="0"/>
                <a:lstStyle/>
                <a:p>
                  <a:pPr algn="l">
                    <a:defRPr>
                      <a:solidFill>
                        <a:schemeClr val="bg1"/>
                      </a:solidFill>
                    </a:defRPr>
                  </a:pPr>
                  <a:endParaRPr lang="es-MX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20199512545182166"/>
                      <c:h val="2.499127218647239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BB8B-4C80-9701-BD3FC745831F}"/>
                </c:ext>
              </c:extLst>
            </c:dLbl>
            <c:dLbl>
              <c:idx val="1"/>
              <c:layout>
                <c:manualLayout>
                  <c:x val="-4.8082754880335463E-2"/>
                  <c:y val="2.352111019640126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999596543502201"/>
                      <c:h val="2.263916116683227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B8B-4C80-9701-BD3FC745831F}"/>
                </c:ext>
              </c:extLst>
            </c:dLbl>
            <c:dLbl>
              <c:idx val="2"/>
              <c:layout>
                <c:manualLayout>
                  <c:x val="-4.199254597585213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B8B-4C80-9701-BD3FC745831F}"/>
                </c:ext>
              </c:extLst>
            </c:dLbl>
            <c:dLbl>
              <c:idx val="4"/>
              <c:layout>
                <c:manualLayout>
                  <c:x val="3.9682539682539683E-7"/>
                  <c:y val="-1.034802860683865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B8B-4C80-9701-BD3FC745831F}"/>
                </c:ext>
              </c:extLst>
            </c:dLbl>
            <c:dLbl>
              <c:idx val="5"/>
              <c:layout>
                <c:manualLayout>
                  <c:x val="-7.1382108405313813E-3"/>
                  <c:y val="-1.175934607485167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646300932249072"/>
                      <c:h val="3.017628794283814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BB8B-4C80-9701-BD3FC745831F}"/>
                </c:ext>
              </c:extLst>
            </c:dLbl>
            <c:dLbl>
              <c:idx val="6"/>
              <c:layout>
                <c:manualLayout>
                  <c:x val="4.2005774057747962E-3"/>
                  <c:y val="2.82216281238395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B8B-4C80-9701-BD3FC745831F}"/>
                </c:ext>
              </c:extLst>
            </c:dLbl>
            <c:dLbl>
              <c:idx val="7"/>
              <c:layout>
                <c:manualLayout>
                  <c:x val="-9.6596745230449796E-2"/>
                  <c:y val="-2.352111019640213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B8B-4C80-9701-BD3FC745831F}"/>
                </c:ext>
              </c:extLst>
            </c:dLbl>
            <c:dLbl>
              <c:idx val="24"/>
              <c:layout>
                <c:manualLayout>
                  <c:x val="0"/>
                  <c:y val="-2.587007151709662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B8B-4C80-9701-BD3FC745831F}"/>
                </c:ext>
              </c:extLst>
            </c:dLbl>
            <c:dLbl>
              <c:idx val="26"/>
              <c:layout>
                <c:manualLayout>
                  <c:x val="-4.199916001679966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B8B-4C80-9701-BD3FC745831F}"/>
                </c:ext>
              </c:extLst>
            </c:dLbl>
            <c:dLbl>
              <c:idx val="27"/>
              <c:layout>
                <c:manualLayout>
                  <c:x val="-8.399832003359933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B8B-4C80-9701-BD3FC745831F}"/>
                </c:ext>
              </c:extLst>
            </c:dLbl>
            <c:dLbl>
              <c:idx val="28"/>
              <c:layout>
                <c:manualLayout>
                  <c:x val="-3.5699451365303392E-2"/>
                  <c:y val="1.1760555098200419E-3"/>
                </c:manualLayout>
              </c:layout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lIns="0" tIns="0" rIns="0" bIns="0"/>
                <a:lstStyle/>
                <a:p>
                  <a:pPr algn="r">
                    <a:defRPr/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12398879581463489"/>
                      <c:h val="2.969549422575265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BB8B-4C80-9701-BD3FC745831F}"/>
                </c:ext>
              </c:extLst>
            </c:dLbl>
            <c:dLbl>
              <c:idx val="29"/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lIns="0" tIns="0" rIns="0" bIns="0" anchorCtr="0"/>
                <a:lstStyle/>
                <a:p>
                  <a:pPr algn="r">
                    <a:defRPr>
                      <a:solidFill>
                        <a:schemeClr val="bg1"/>
                      </a:solidFill>
                    </a:defRPr>
                  </a:pPr>
                  <a:endParaRPr lang="es-MX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32589264750138069"/>
                      <c:h val="2.263916116683227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BB8B-4C80-9701-BD3FC745831F}"/>
                </c:ext>
              </c:extLst>
            </c:dLbl>
            <c:dLbl>
              <c:idx val="30"/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lIns="0" tIns="0" rIns="0" bIns="0" anchorCtr="0"/>
                <a:lstStyle/>
                <a:p>
                  <a:pPr algn="r">
                    <a:defRPr>
                      <a:solidFill>
                        <a:schemeClr val="bg1"/>
                      </a:solidFill>
                    </a:defRPr>
                  </a:pPr>
                  <a:endParaRPr lang="es-MX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33095635725080769"/>
                      <c:h val="2.5942302901893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BB8B-4C80-9701-BD3FC745831F}"/>
                </c:ext>
              </c:extLst>
            </c:dLbl>
            <c:dLbl>
              <c:idx val="31"/>
              <c:tx>
                <c:rich>
                  <a:bodyPr rot="0" lIns="0" tIns="0" rIns="0" bIns="0" anchorCtr="0"/>
                  <a:lstStyle/>
                  <a:p>
                    <a:pPr algn="r">
                      <a:defRPr>
                        <a:solidFill>
                          <a:schemeClr val="bg1"/>
                        </a:solidFill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1.60</a:t>
                    </a:r>
                  </a:p>
                </c:rich>
              </c:tx>
              <c:numFmt formatCode="#,##0.00" sourceLinked="0"/>
              <c:spPr>
                <a:noFill/>
                <a:ln>
                  <a:noFill/>
                </a:ln>
                <a:effectLst/>
              </c:sp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555609202776576"/>
                      <c:h val="2.4991272186472398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D-BB8B-4C80-9701-BD3FC745831F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lIns="0" tIns="0" rIns="0" bIns="0"/>
              <a:lstStyle/>
              <a:p>
                <a:pPr>
                  <a:defRPr/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Contribuciones!$D$7:$D$38</c:f>
              <c:strCache>
                <c:ptCount val="32"/>
                <c:pt idx="0">
                  <c:v>Sinaloa</c:v>
                </c:pt>
                <c:pt idx="1">
                  <c:v>Tamaulipas</c:v>
                </c:pt>
                <c:pt idx="2">
                  <c:v>Guanajuato</c:v>
                </c:pt>
                <c:pt idx="3">
                  <c:v>Jalisco</c:v>
                </c:pt>
                <c:pt idx="4">
                  <c:v>Aguascalientes</c:v>
                </c:pt>
                <c:pt idx="5">
                  <c:v>Coahuila</c:v>
                </c:pt>
                <c:pt idx="6">
                  <c:v>Tlaxcala</c:v>
                </c:pt>
                <c:pt idx="7">
                  <c:v>Nayarit</c:v>
                </c:pt>
                <c:pt idx="8">
                  <c:v>Oaxaca</c:v>
                </c:pt>
                <c:pt idx="9">
                  <c:v>Querétaro</c:v>
                </c:pt>
                <c:pt idx="10">
                  <c:v>Colima</c:v>
                </c:pt>
                <c:pt idx="11">
                  <c:v>Quintana Roo</c:v>
                </c:pt>
                <c:pt idx="12">
                  <c:v>Guerrero</c:v>
                </c:pt>
                <c:pt idx="13">
                  <c:v>San Luis Potosí</c:v>
                </c:pt>
                <c:pt idx="14">
                  <c:v>Tabasco</c:v>
                </c:pt>
                <c:pt idx="15">
                  <c:v>Ciudad de México</c:v>
                </c:pt>
                <c:pt idx="16">
                  <c:v>Morelos</c:v>
                </c:pt>
                <c:pt idx="17">
                  <c:v>Chiapas</c:v>
                </c:pt>
                <c:pt idx="18">
                  <c:v>México</c:v>
                </c:pt>
                <c:pt idx="19">
                  <c:v>Campeche</c:v>
                </c:pt>
                <c:pt idx="20">
                  <c:v>Sonora</c:v>
                </c:pt>
                <c:pt idx="21">
                  <c:v>Yucatán</c:v>
                </c:pt>
                <c:pt idx="22">
                  <c:v>Puebla</c:v>
                </c:pt>
                <c:pt idx="23">
                  <c:v>Baja California</c:v>
                </c:pt>
                <c:pt idx="24">
                  <c:v>Nuevo León</c:v>
                </c:pt>
                <c:pt idx="25">
                  <c:v>Baja California Sur</c:v>
                </c:pt>
                <c:pt idx="26">
                  <c:v>Veracruz</c:v>
                </c:pt>
                <c:pt idx="27">
                  <c:v>Chihuahua</c:v>
                </c:pt>
                <c:pt idx="28">
                  <c:v>Hidalgo</c:v>
                </c:pt>
                <c:pt idx="29">
                  <c:v>Durango</c:v>
                </c:pt>
                <c:pt idx="30">
                  <c:v>Zacatecas</c:v>
                </c:pt>
                <c:pt idx="31">
                  <c:v>Michoacán</c:v>
                </c:pt>
              </c:strCache>
            </c:strRef>
          </c:cat>
          <c:val>
            <c:numRef>
              <c:f>Contribuciones!$E$7:$E$38</c:f>
              <c:numCache>
                <c:formatCode>0.00</c:formatCode>
                <c:ptCount val="32"/>
                <c:pt idx="0">
                  <c:v>-0.73556394417963888</c:v>
                </c:pt>
                <c:pt idx="1">
                  <c:v>-0.24074122257483829</c:v>
                </c:pt>
                <c:pt idx="2">
                  <c:v>-0.21535425960451943</c:v>
                </c:pt>
                <c:pt idx="3">
                  <c:v>-0.19593120475523024</c:v>
                </c:pt>
                <c:pt idx="4">
                  <c:v>-5.8596314320157314E-2</c:v>
                </c:pt>
                <c:pt idx="5">
                  <c:v>-2.0000148427850618E-2</c:v>
                </c:pt>
                <c:pt idx="6">
                  <c:v>-1.7979453839203269E-2</c:v>
                </c:pt>
                <c:pt idx="7">
                  <c:v>-1.9242588638997131E-3</c:v>
                </c:pt>
                <c:pt idx="8">
                  <c:v>8.5104270224250524E-4</c:v>
                </c:pt>
                <c:pt idx="9">
                  <c:v>2.6299671655266008E-2</c:v>
                </c:pt>
                <c:pt idx="10">
                  <c:v>2.6451675407209281E-2</c:v>
                </c:pt>
                <c:pt idx="11">
                  <c:v>2.839923037964491E-2</c:v>
                </c:pt>
                <c:pt idx="12">
                  <c:v>3.3563847855839851E-2</c:v>
                </c:pt>
                <c:pt idx="13">
                  <c:v>3.68111573732776E-2</c:v>
                </c:pt>
                <c:pt idx="14">
                  <c:v>4.1799620326262568E-2</c:v>
                </c:pt>
                <c:pt idx="15">
                  <c:v>4.9359546544314681E-2</c:v>
                </c:pt>
                <c:pt idx="16">
                  <c:v>5.9638472195594983E-2</c:v>
                </c:pt>
                <c:pt idx="17">
                  <c:v>6.0092355850131479E-2</c:v>
                </c:pt>
                <c:pt idx="18">
                  <c:v>6.5174464147529837E-2</c:v>
                </c:pt>
                <c:pt idx="19">
                  <c:v>6.7688506384750602E-2</c:v>
                </c:pt>
                <c:pt idx="20">
                  <c:v>7.6478587559471803E-2</c:v>
                </c:pt>
                <c:pt idx="21">
                  <c:v>7.967651364169849E-2</c:v>
                </c:pt>
                <c:pt idx="22">
                  <c:v>8.9609756115510295E-2</c:v>
                </c:pt>
                <c:pt idx="23">
                  <c:v>0.11508956749519333</c:v>
                </c:pt>
                <c:pt idx="24">
                  <c:v>0.14883367407378792</c:v>
                </c:pt>
                <c:pt idx="25">
                  <c:v>0.16154303867751293</c:v>
                </c:pt>
                <c:pt idx="26">
                  <c:v>0.27378217240316183</c:v>
                </c:pt>
                <c:pt idx="27">
                  <c:v>0.43051470633403743</c:v>
                </c:pt>
                <c:pt idx="28">
                  <c:v>0.50218161744771084</c:v>
                </c:pt>
                <c:pt idx="29">
                  <c:v>0.625728352159588</c:v>
                </c:pt>
                <c:pt idx="30">
                  <c:v>1.0021435674142301</c:v>
                </c:pt>
                <c:pt idx="31">
                  <c:v>1.5981332170214337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BB8B-4C80-9701-BD3FC74583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axId val="417157528"/>
        <c:axId val="417157920"/>
      </c:barChart>
      <c:catAx>
        <c:axId val="417157528"/>
        <c:scaling>
          <c:orientation val="minMax"/>
        </c:scaling>
        <c:delete val="0"/>
        <c:axPos val="l"/>
        <c:numFmt formatCode="General" sourceLinked="0"/>
        <c:majorTickMark val="cross"/>
        <c:minorTickMark val="none"/>
        <c:tickLblPos val="low"/>
        <c:spPr>
          <a:ln w="6350">
            <a:solidFill>
              <a:srgbClr val="C0C0C0"/>
            </a:solidFill>
          </a:ln>
        </c:spPr>
        <c:crossAx val="417157920"/>
        <c:crosses val="autoZero"/>
        <c:auto val="1"/>
        <c:lblAlgn val="ctr"/>
        <c:lblOffset val="100"/>
        <c:noMultiLvlLbl val="0"/>
      </c:catAx>
      <c:valAx>
        <c:axId val="417157920"/>
        <c:scaling>
          <c:orientation val="minMax"/>
          <c:max val="0.65000000000000013"/>
          <c:min val="-0.4"/>
        </c:scaling>
        <c:delete val="0"/>
        <c:axPos val="b"/>
        <c:numFmt formatCode="#,##0.00" sourceLinked="0"/>
        <c:majorTickMark val="out"/>
        <c:minorTickMark val="none"/>
        <c:tickLblPos val="nextTo"/>
        <c:spPr>
          <a:ln w="9525">
            <a:solidFill>
              <a:srgbClr val="D8551E"/>
            </a:solidFill>
          </a:ln>
        </c:spPr>
        <c:crossAx val="417157528"/>
        <c:crosses val="autoZero"/>
        <c:crossBetween val="between"/>
        <c:majorUnit val="0.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 w="6350">
      <a:solidFill>
        <a:srgbClr val="C0C0C0"/>
      </a:solidFill>
    </a:ln>
    <a:effectLst/>
  </c:spPr>
  <c:txPr>
    <a:bodyPr/>
    <a:lstStyle/>
    <a:p>
      <a:pPr>
        <a:defRPr sz="900">
          <a:solidFill>
            <a:srgbClr val="4D565E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7007675594519607"/>
          <c:y val="1.9088888888888891E-2"/>
          <c:w val="0.56794306633552372"/>
          <c:h val="0.9511583220743766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'Variaciones por EF'!$K$4</c:f>
              <c:strCache>
                <c:ptCount val="1"/>
                <c:pt idx="0">
                  <c:v>Secundarias</c:v>
                </c:pt>
              </c:strCache>
            </c:strRef>
          </c:tx>
          <c:spPr>
            <a:solidFill>
              <a:srgbClr val="08989C"/>
            </a:solidFill>
            <a:ln w="0">
              <a:noFill/>
            </a:ln>
            <a:effectLst/>
          </c:spPr>
          <c:invertIfNegative val="0"/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7A4-42E5-AF4F-301E50B084D6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7A4-42E5-AF4F-301E50B084D6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E7A4-42E5-AF4F-301E50B084D6}"/>
              </c:ext>
            </c:extLst>
          </c:dPt>
          <c:dPt>
            <c:idx val="14"/>
            <c:invertIfNegative val="0"/>
            <c:bubble3D val="0"/>
            <c:spPr>
              <a:solidFill>
                <a:srgbClr val="C0C0C0"/>
              </a:solidFill>
              <a:ln w="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E7A4-42E5-AF4F-301E50B084D6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E7A4-42E5-AF4F-301E50B084D6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E7A4-42E5-AF4F-301E50B084D6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E7A4-42E5-AF4F-301E50B084D6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E7A4-42E5-AF4F-301E50B084D6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E7A4-42E5-AF4F-301E50B084D6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E7A4-42E5-AF4F-301E50B084D6}"/>
              </c:ext>
            </c:extLst>
          </c:dPt>
          <c:dPt>
            <c:idx val="2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E7A4-42E5-AF4F-301E50B084D6}"/>
              </c:ext>
            </c:extLst>
          </c:dPt>
          <c:dLbls>
            <c:dLbl>
              <c:idx val="0"/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60000" tIns="19050" rIns="36000" bIns="19050" anchor="ctr">
                  <a:spAutoFit/>
                </a:bodyPr>
                <a:lstStyle/>
                <a:p>
                  <a:pPr>
                    <a:defRPr sz="900">
                      <a:solidFill>
                        <a:schemeClr val="bg1"/>
                      </a:solidFill>
                    </a:defRPr>
                  </a:pPr>
                  <a:endParaRPr lang="es-MX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30666033923416014"/>
                      <c:h val="2.761044966991733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E7A4-42E5-AF4F-301E50B084D6}"/>
                </c:ext>
              </c:extLst>
            </c:dLbl>
            <c:dLbl>
              <c:idx val="1"/>
              <c:layout>
                <c:manualLayout>
                  <c:x val="-7.781746031746032E-3"/>
                  <c:y val="-7.01999999999896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7A4-42E5-AF4F-301E50B084D6}"/>
                </c:ext>
              </c:extLst>
            </c:dLbl>
            <c:dLbl>
              <c:idx val="2"/>
              <c:layout>
                <c:manualLayout>
                  <c:x val="-7.7853174603174603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7A4-42E5-AF4F-301E50B084D6}"/>
                </c:ext>
              </c:extLst>
            </c:dLbl>
            <c:dLbl>
              <c:idx val="3"/>
              <c:layout>
                <c:manualLayout>
                  <c:x val="-1.2821825396825397E-2"/>
                  <c:y val="-7.020000000001034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7A4-42E5-AF4F-301E50B084D6}"/>
                </c:ext>
              </c:extLst>
            </c:dLbl>
            <c:dLbl>
              <c:idx val="4"/>
              <c:layout>
                <c:manualLayout>
                  <c:x val="-3.1984126984126982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7A4-42E5-AF4F-301E50B084D6}"/>
                </c:ext>
              </c:extLst>
            </c:dLbl>
            <c:dLbl>
              <c:idx val="5"/>
              <c:layout>
                <c:manualLayout>
                  <c:x val="-3.2000000000000002E-3"/>
                  <c:y val="-7.020000000001034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7A4-42E5-AF4F-301E50B084D6}"/>
                </c:ext>
              </c:extLst>
            </c:dLbl>
            <c:dLbl>
              <c:idx val="6"/>
              <c:layout>
                <c:manualLayout>
                  <c:x val="-3.2007936507936507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7A4-42E5-AF4F-301E50B084D6}"/>
                </c:ext>
              </c:extLst>
            </c:dLbl>
            <c:dLbl>
              <c:idx val="7"/>
              <c:layout>
                <c:manualLayout>
                  <c:x val="4.0266669666596654E-4"/>
                  <c:y val="-2.11307086274639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713985720285595"/>
                      <c:h val="3.064652494117407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E7A4-42E5-AF4F-301E50B084D6}"/>
                </c:ext>
              </c:extLst>
            </c:dLbl>
            <c:dLbl>
              <c:idx val="8"/>
              <c:layout>
                <c:manualLayout>
                  <c:x val="-6.1285714285714285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7A4-42E5-AF4F-301E50B084D6}"/>
                </c:ext>
              </c:extLst>
            </c:dLbl>
            <c:dLbl>
              <c:idx val="9"/>
              <c:layout>
                <c:manualLayout>
                  <c:x val="1.8386814691527678E-3"/>
                  <c:y val="-7.019686044624874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424168367026361"/>
                      <c:h val="3.3570365623619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E7A4-42E5-AF4F-301E50B084D6}"/>
                </c:ext>
              </c:extLst>
            </c:dLbl>
            <c:dLbl>
              <c:idx val="10"/>
              <c:layout>
                <c:manualLayout>
                  <c:x val="-6.7926200531107485E-4"/>
                  <c:y val="2.12004841274177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507738095238095"/>
                      <c:h val="4.192111111111110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E7A4-42E5-AF4F-301E50B084D6}"/>
                </c:ext>
              </c:extLst>
            </c:dLbl>
            <c:dLbl>
              <c:idx val="11"/>
              <c:layout>
                <c:manualLayout>
                  <c:x val="9.4812276982806796E-4"/>
                  <c:y val="-7.019291940500851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7A4-42E5-AF4F-301E50B084D6}"/>
                </c:ext>
              </c:extLst>
            </c:dLbl>
            <c:dLbl>
              <c:idx val="12"/>
              <c:layout>
                <c:manualLayout>
                  <c:x val="5.3937503927094514E-4"/>
                  <c:y val="1.65018182558995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7A4-42E5-AF4F-301E50B084D6}"/>
                </c:ext>
              </c:extLst>
            </c:dLbl>
            <c:dLbl>
              <c:idx val="13"/>
              <c:layout>
                <c:manualLayout>
                  <c:x val="-3.6611111111111111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7A4-42E5-AF4F-301E50B084D6}"/>
                </c:ext>
              </c:extLst>
            </c:dLbl>
            <c:dLbl>
              <c:idx val="14"/>
              <c:layout>
                <c:manualLayout>
                  <c:x val="-3.6626984126984126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7A4-42E5-AF4F-301E50B084D6}"/>
                </c:ext>
              </c:extLst>
            </c:dLbl>
            <c:dLbl>
              <c:idx val="15"/>
              <c:layout>
                <c:manualLayout>
                  <c:x val="-3.6635172808354858E-3"/>
                  <c:y val="-1.172166192386012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7A4-42E5-AF4F-301E50B084D6}"/>
                </c:ext>
              </c:extLst>
            </c:dLbl>
            <c:dLbl>
              <c:idx val="16"/>
              <c:layout>
                <c:manualLayout>
                  <c:x val="-3.6642857142857141E-3"/>
                  <c:y val="-1.03480286068386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7A4-42E5-AF4F-301E50B084D6}"/>
                </c:ext>
              </c:extLst>
            </c:dLbl>
            <c:dLbl>
              <c:idx val="17"/>
              <c:layout>
                <c:manualLayout>
                  <c:x val="-3.6650793650794575E-3"/>
                  <c:y val="-5.1740143034193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7A4-42E5-AF4F-301E50B084D6}"/>
                </c:ext>
              </c:extLst>
            </c:dLbl>
            <c:dLbl>
              <c:idx val="18"/>
              <c:layout>
                <c:manualLayout>
                  <c:x val="-3.6650793650793651E-3"/>
                  <c:y val="-5.1740143034193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7A4-42E5-AF4F-301E50B084D6}"/>
                </c:ext>
              </c:extLst>
            </c:dLbl>
            <c:dLbl>
              <c:idx val="19"/>
              <c:layout>
                <c:manualLayout>
                  <c:x val="-3.6650793650794575E-3"/>
                  <c:y val="-5.1740143034193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7A4-42E5-AF4F-301E50B084D6}"/>
                </c:ext>
              </c:extLst>
            </c:dLbl>
            <c:dLbl>
              <c:idx val="20"/>
              <c:layout>
                <c:manualLayout>
                  <c:x val="-3.6650793650793651E-3"/>
                  <c:y val="-5.1740143034193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7A4-42E5-AF4F-301E50B084D6}"/>
                </c:ext>
              </c:extLst>
            </c:dLbl>
            <c:dLbl>
              <c:idx val="21"/>
              <c:layout>
                <c:manualLayout>
                  <c:x val="-3.665079365079365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7A4-42E5-AF4F-301E50B084D6}"/>
                </c:ext>
              </c:extLst>
            </c:dLbl>
            <c:dLbl>
              <c:idx val="22"/>
              <c:layout>
                <c:manualLayout>
                  <c:x val="-3.6650793650793651E-3"/>
                  <c:y val="-5.1740143034193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E7A4-42E5-AF4F-301E50B084D6}"/>
                </c:ext>
              </c:extLst>
            </c:dLbl>
            <c:dLbl>
              <c:idx val="23"/>
              <c:layout>
                <c:manualLayout>
                  <c:x val="5.3474521060759884E-4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7A4-42E5-AF4F-301E50B084D6}"/>
                </c:ext>
              </c:extLst>
            </c:dLbl>
            <c:dLbl>
              <c:idx val="24"/>
              <c:layout>
                <c:manualLayout>
                  <c:x val="-3.6651707910723675E-3"/>
                  <c:y val="-4.700517927438732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E7A4-42E5-AF4F-301E50B084D6}"/>
                </c:ext>
              </c:extLst>
            </c:dLbl>
            <c:dLbl>
              <c:idx val="25"/>
              <c:layout>
                <c:manualLayout>
                  <c:x val="-3.6651707910723675E-3"/>
                  <c:y val="-4.700517927438732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E7A4-42E5-AF4F-301E50B084D6}"/>
                </c:ext>
              </c:extLst>
            </c:dLbl>
            <c:dLbl>
              <c:idx val="26"/>
              <c:layout>
                <c:manualLayout>
                  <c:x val="5.3474521060759884E-4"/>
                  <c:y val="-4.700517927438732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E7A4-42E5-AF4F-301E50B084D6}"/>
                </c:ext>
              </c:extLst>
            </c:dLbl>
            <c:dLbl>
              <c:idx val="27"/>
              <c:layout>
                <c:manualLayout>
                  <c:x val="-2.8787613224113471E-2"/>
                  <c:y val="-3.507793914329449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82845238095238"/>
                      <c:h val="3.557466666666665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C-E7A4-42E5-AF4F-301E50B084D6}"/>
                </c:ext>
              </c:extLst>
            </c:dLbl>
            <c:dLbl>
              <c:idx val="28"/>
              <c:layout>
                <c:manualLayout>
                  <c:x val="-1.2904655292720918E-2"/>
                  <c:y val="-2.156076860819568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E7A4-42E5-AF4F-301E50B084D6}"/>
                </c:ext>
              </c:extLst>
            </c:dLbl>
            <c:dLbl>
              <c:idx val="29"/>
              <c:layout>
                <c:manualLayout>
                  <c:x val="-1.710457129440088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E7A4-42E5-AF4F-301E50B084D6}"/>
                </c:ext>
              </c:extLst>
            </c:dLbl>
            <c:dLbl>
              <c:idx val="30"/>
              <c:layout>
                <c:manualLayout>
                  <c:x val="-1.7104571294400885E-2"/>
                  <c:y val="0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72000" tIns="19050" rIns="36000" bIns="19050" anchor="ctr">
                  <a:spAutoFit/>
                </a:bodyPr>
                <a:lstStyle/>
                <a:p>
                  <a:pPr>
                    <a:defRPr sz="900" b="0">
                      <a:solidFill>
                        <a:srgbClr val="4D565E"/>
                      </a:solidFill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F-E7A4-42E5-AF4F-301E50B084D6}"/>
                </c:ext>
              </c:extLst>
            </c:dLbl>
            <c:dLbl>
              <c:idx val="31"/>
              <c:layout>
                <c:manualLayout>
                  <c:x val="-2.7604361298600801E-2"/>
                  <c:y val="-1.1760555098200634E-3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72000" tIns="19050" rIns="36000" bIns="19050" anchor="ctr">
                  <a:noAutofit/>
                </a:bodyPr>
                <a:lstStyle/>
                <a:p>
                  <a:pPr>
                    <a:defRPr sz="900" b="0">
                      <a:solidFill>
                        <a:srgbClr val="4D565E"/>
                      </a:solidFill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9983034984969595E-2"/>
                      <c:h val="2.969549422575265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0-E7A4-42E5-AF4F-301E50B084D6}"/>
                </c:ext>
              </c:extLst>
            </c:dLbl>
            <c:dLbl>
              <c:idx val="32"/>
              <c:layout>
                <c:manualLayout>
                  <c:x val="-9.544391789329568E-3"/>
                  <c:y val="-7.0229960523428042E-4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72000" tIns="19050" rIns="36000" bIns="19050" anchor="ctr">
                  <a:spAutoFit/>
                </a:bodyPr>
                <a:lstStyle/>
                <a:p>
                  <a:pPr>
                    <a:defRPr sz="900" b="0">
                      <a:solidFill>
                        <a:srgbClr val="4D565E"/>
                      </a:solidFill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21-E7A4-42E5-AF4F-301E50B084D6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72000" tIns="19050" rIns="36000" bIns="19050" anchor="ctr">
                <a:spAutoFit/>
              </a:bodyPr>
              <a:lstStyle/>
              <a:p>
                <a:pPr>
                  <a:defRPr sz="900">
                    <a:solidFill>
                      <a:srgbClr val="4D565E"/>
                    </a:solidFill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'Variaciones por EF'!$J$6:$J$38</c:f>
              <c:strCache>
                <c:ptCount val="33"/>
                <c:pt idx="0">
                  <c:v>Quintana Roo</c:v>
                </c:pt>
                <c:pt idx="1">
                  <c:v>Michoacán</c:v>
                </c:pt>
                <c:pt idx="2">
                  <c:v>Campeche</c:v>
                </c:pt>
                <c:pt idx="3">
                  <c:v>Tabasco</c:v>
                </c:pt>
                <c:pt idx="4">
                  <c:v>Nayarit</c:v>
                </c:pt>
                <c:pt idx="5">
                  <c:v>Aguascalientes</c:v>
                </c:pt>
                <c:pt idx="6">
                  <c:v>San Luis Potosí</c:v>
                </c:pt>
                <c:pt idx="7">
                  <c:v>Sinaloa</c:v>
                </c:pt>
                <c:pt idx="8">
                  <c:v>Jalisco</c:v>
                </c:pt>
                <c:pt idx="9">
                  <c:v>Sonora</c:v>
                </c:pt>
                <c:pt idx="10">
                  <c:v>Coahuila</c:v>
                </c:pt>
                <c:pt idx="11">
                  <c:v>Ciudad de México</c:v>
                </c:pt>
                <c:pt idx="12">
                  <c:v>Yucatán</c:v>
                </c:pt>
                <c:pt idx="13">
                  <c:v>Chihuahua</c:v>
                </c:pt>
                <c:pt idx="14">
                  <c:v>Nacional</c:v>
                </c:pt>
                <c:pt idx="15">
                  <c:v>Chiapas</c:v>
                </c:pt>
                <c:pt idx="16">
                  <c:v>Baja California Sur</c:v>
                </c:pt>
                <c:pt idx="17">
                  <c:v>Baja California</c:v>
                </c:pt>
                <c:pt idx="18">
                  <c:v>Tamaulipas</c:v>
                </c:pt>
                <c:pt idx="19">
                  <c:v>Tlaxcala</c:v>
                </c:pt>
                <c:pt idx="20">
                  <c:v>Hidalgo</c:v>
                </c:pt>
                <c:pt idx="21">
                  <c:v>Guerrero</c:v>
                </c:pt>
                <c:pt idx="22">
                  <c:v>Querétaro</c:v>
                </c:pt>
                <c:pt idx="23">
                  <c:v>Colima</c:v>
                </c:pt>
                <c:pt idx="24">
                  <c:v>México</c:v>
                </c:pt>
                <c:pt idx="25">
                  <c:v>Morelos</c:v>
                </c:pt>
                <c:pt idx="26">
                  <c:v>Zacatecas</c:v>
                </c:pt>
                <c:pt idx="27">
                  <c:v>Puebla</c:v>
                </c:pt>
                <c:pt idx="28">
                  <c:v>Durango</c:v>
                </c:pt>
                <c:pt idx="29">
                  <c:v>Veracruz</c:v>
                </c:pt>
                <c:pt idx="30">
                  <c:v>Nuevo León</c:v>
                </c:pt>
                <c:pt idx="31">
                  <c:v>Guanajuato</c:v>
                </c:pt>
                <c:pt idx="32">
                  <c:v>Oaxaca</c:v>
                </c:pt>
              </c:strCache>
            </c:strRef>
          </c:cat>
          <c:val>
            <c:numRef>
              <c:f>'Variaciones por EF'!$K$6:$K$38</c:f>
              <c:numCache>
                <c:formatCode>0.0</c:formatCode>
                <c:ptCount val="33"/>
                <c:pt idx="0">
                  <c:v>-47.107206329845631</c:v>
                </c:pt>
                <c:pt idx="1">
                  <c:v>-14.047436037844662</c:v>
                </c:pt>
                <c:pt idx="2">
                  <c:v>-13.077330740298819</c:v>
                </c:pt>
                <c:pt idx="3">
                  <c:v>-10.972355821957194</c:v>
                </c:pt>
                <c:pt idx="4">
                  <c:v>-5.9012823048697101</c:v>
                </c:pt>
                <c:pt idx="5">
                  <c:v>-4.5176137141865667</c:v>
                </c:pt>
                <c:pt idx="6">
                  <c:v>-4.038695187305791</c:v>
                </c:pt>
                <c:pt idx="7">
                  <c:v>-2.6550934729945794</c:v>
                </c:pt>
                <c:pt idx="8">
                  <c:v>-2.5172063436946388</c:v>
                </c:pt>
                <c:pt idx="9">
                  <c:v>-1.5114525587825227</c:v>
                </c:pt>
                <c:pt idx="10">
                  <c:v>-0.92539661031837284</c:v>
                </c:pt>
                <c:pt idx="11">
                  <c:v>-0.91426910497131075</c:v>
                </c:pt>
                <c:pt idx="12">
                  <c:v>-0.69236387027252988</c:v>
                </c:pt>
                <c:pt idx="13">
                  <c:v>0.37326167437106506</c:v>
                </c:pt>
                <c:pt idx="14">
                  <c:v>0.51093025209935705</c:v>
                </c:pt>
                <c:pt idx="15">
                  <c:v>0.71797072254074124</c:v>
                </c:pt>
                <c:pt idx="16">
                  <c:v>0.76563225347787522</c:v>
                </c:pt>
                <c:pt idx="17">
                  <c:v>1.2679227109420026</c:v>
                </c:pt>
                <c:pt idx="18">
                  <c:v>1.6923399979926046</c:v>
                </c:pt>
                <c:pt idx="19">
                  <c:v>2.0083209026954734</c:v>
                </c:pt>
                <c:pt idx="20">
                  <c:v>2.9389831209606996</c:v>
                </c:pt>
                <c:pt idx="21">
                  <c:v>3.3441951745098777</c:v>
                </c:pt>
                <c:pt idx="22">
                  <c:v>4.0066868949357684</c:v>
                </c:pt>
                <c:pt idx="23">
                  <c:v>4.0759580829002715</c:v>
                </c:pt>
                <c:pt idx="24">
                  <c:v>4.702164937440017</c:v>
                </c:pt>
                <c:pt idx="25">
                  <c:v>5.0206991934619509</c:v>
                </c:pt>
                <c:pt idx="26">
                  <c:v>5.2486126504228423</c:v>
                </c:pt>
                <c:pt idx="27">
                  <c:v>7.2475077324774162</c:v>
                </c:pt>
                <c:pt idx="28">
                  <c:v>7.7379931927900003</c:v>
                </c:pt>
                <c:pt idx="29">
                  <c:v>8.5680527829616864</c:v>
                </c:pt>
                <c:pt idx="30">
                  <c:v>8.8535988759283413</c:v>
                </c:pt>
                <c:pt idx="31">
                  <c:v>9.7562837397915985</c:v>
                </c:pt>
                <c:pt idx="32">
                  <c:v>14.380726133024567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E7A4-42E5-AF4F-301E50B084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axId val="499233088"/>
        <c:axId val="499244848"/>
      </c:barChart>
      <c:catAx>
        <c:axId val="499233088"/>
        <c:scaling>
          <c:orientation val="minMax"/>
        </c:scaling>
        <c:delete val="0"/>
        <c:axPos val="l"/>
        <c:numFmt formatCode="General" sourceLinked="0"/>
        <c:majorTickMark val="cross"/>
        <c:minorTickMark val="none"/>
        <c:tickLblPos val="low"/>
        <c:spPr>
          <a:ln w="6350">
            <a:solidFill>
              <a:srgbClr val="C0C0C0"/>
            </a:solidFill>
          </a:ln>
        </c:spPr>
        <c:txPr>
          <a:bodyPr/>
          <a:lstStyle/>
          <a:p>
            <a:pPr>
              <a:defRPr sz="900">
                <a:solidFill>
                  <a:srgbClr val="4D565E"/>
                </a:solidFill>
              </a:defRPr>
            </a:pPr>
            <a:endParaRPr lang="es-MX"/>
          </a:p>
        </c:txPr>
        <c:crossAx val="499244848"/>
        <c:crosses val="autoZero"/>
        <c:auto val="1"/>
        <c:lblAlgn val="ctr"/>
        <c:lblOffset val="100"/>
        <c:noMultiLvlLbl val="0"/>
      </c:catAx>
      <c:valAx>
        <c:axId val="499244848"/>
        <c:scaling>
          <c:orientation val="minMax"/>
          <c:max val="17"/>
          <c:min val="-24"/>
        </c:scaling>
        <c:delete val="0"/>
        <c:axPos val="b"/>
        <c:numFmt formatCode="#,##0.0" sourceLinked="0"/>
        <c:majorTickMark val="out"/>
        <c:minorTickMark val="none"/>
        <c:tickLblPos val="nextTo"/>
        <c:spPr>
          <a:ln w="9525">
            <a:solidFill>
              <a:srgbClr val="D8551E"/>
            </a:solidFill>
          </a:ln>
        </c:spPr>
        <c:txPr>
          <a:bodyPr/>
          <a:lstStyle/>
          <a:p>
            <a:pPr>
              <a:defRPr sz="900">
                <a:solidFill>
                  <a:srgbClr val="4D565E"/>
                </a:solidFill>
              </a:defRPr>
            </a:pPr>
            <a:endParaRPr lang="es-MX"/>
          </a:p>
        </c:txPr>
        <c:crossAx val="499233088"/>
        <c:crosses val="autoZero"/>
        <c:crossBetween val="between"/>
        <c:majorUnit val="1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 w="6350">
      <a:solidFill>
        <a:srgbClr val="C0C0C0"/>
      </a:solidFill>
    </a:ln>
    <a:effectLst/>
  </c:spPr>
  <c:txPr>
    <a:bodyPr/>
    <a:lstStyle/>
    <a:p>
      <a:pPr>
        <a:defRPr sz="75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7128117280174083"/>
          <c:y val="2.2274222222222223E-2"/>
          <c:w val="0.5667386494789789"/>
          <c:h val="0.9417528412852898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8989C"/>
            </a:solidFill>
          </c:spPr>
          <c:invertIfNegative val="0"/>
          <c:dLbls>
            <c:dLbl>
              <c:idx val="0"/>
              <c:layout>
                <c:manualLayout>
                  <c:x val="-0.23608686881380483"/>
                  <c:y val="2.3521110196399546E-3"/>
                </c:manualLayout>
              </c:layout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lIns="0" tIns="0" rIns="0" bIns="0" anchorCtr="0"/>
                <a:lstStyle/>
                <a:p>
                  <a:pPr algn="l">
                    <a:defRPr sz="900">
                      <a:solidFill>
                        <a:schemeClr val="bg1"/>
                      </a:solidFill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21879478945854153"/>
                      <c:h val="2.969549422575265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EFF3-42BB-8522-55A8DDF2A759}"/>
                </c:ext>
              </c:extLst>
            </c:dLbl>
            <c:dLbl>
              <c:idx val="1"/>
              <c:layout>
                <c:manualLayout>
                  <c:x val="-0.23939488139371073"/>
                  <c:y val="-1.1759629070240147E-3"/>
                </c:manualLayout>
              </c:layout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lIns="0" tIns="0" rIns="0" bIns="0" anchorCtr="0"/>
                <a:lstStyle/>
                <a:p>
                  <a:pPr algn="l">
                    <a:defRPr sz="900">
                      <a:solidFill>
                        <a:schemeClr val="bg1"/>
                      </a:solidFill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21775969205025347"/>
                      <c:h val="2.90369031402534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EFF3-42BB-8522-55A8DDF2A759}"/>
                </c:ext>
              </c:extLst>
            </c:dLbl>
            <c:dLbl>
              <c:idx val="2"/>
              <c:layout>
                <c:manualLayout>
                  <c:x val="-0.13229603124472936"/>
                  <c:y val="0"/>
                </c:manualLayout>
              </c:layout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/>
                <a:lstStyle/>
                <a:p>
                  <a:pPr>
                    <a:defRPr sz="900">
                      <a:solidFill>
                        <a:schemeClr val="bg1"/>
                      </a:solidFill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13890676517178319"/>
                      <c:h val="2.78241769231980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EFF3-42BB-8522-55A8DDF2A759}"/>
                </c:ext>
              </c:extLst>
            </c:dLbl>
            <c:dLbl>
              <c:idx val="3"/>
              <c:layout>
                <c:manualLayout>
                  <c:x val="-1.2598094494802941E-2"/>
                  <c:y val="-2.352111019640299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FF3-42BB-8522-55A8DDF2A759}"/>
                </c:ext>
              </c:extLst>
            </c:dLbl>
            <c:dLbl>
              <c:idx val="4"/>
              <c:layout>
                <c:manualLayout>
                  <c:x val="-8.399832003359855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FF3-42BB-8522-55A8DDF2A759}"/>
                </c:ext>
              </c:extLst>
            </c:dLbl>
            <c:dLbl>
              <c:idx val="5"/>
              <c:layout>
                <c:manualLayout>
                  <c:x val="-8.399832003359933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FF3-42BB-8522-55A8DDF2A759}"/>
                </c:ext>
              </c:extLst>
            </c:dLbl>
            <c:dLbl>
              <c:idx val="6"/>
              <c:layout>
                <c:manualLayout>
                  <c:x val="8.4659724128359774E-4"/>
                  <c:y val="-2.352111019640040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FF3-42BB-8522-55A8DDF2A759}"/>
                </c:ext>
              </c:extLst>
            </c:dLbl>
            <c:dLbl>
              <c:idx val="7"/>
              <c:layout>
                <c:manualLayout>
                  <c:x val="-5.03968253968253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FF3-42BB-8522-55A8DDF2A759}"/>
                </c:ext>
              </c:extLst>
            </c:dLbl>
            <c:dLbl>
              <c:idx val="8"/>
              <c:layout>
                <c:manualLayout>
                  <c:x val="-1.091763204105989E-2"/>
                  <c:y val="-9.2602796048823892E-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461996779388084"/>
                      <c:h val="3.48726666666666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EFF3-42BB-8522-55A8DDF2A759}"/>
                </c:ext>
              </c:extLst>
            </c:dLbl>
            <c:dLbl>
              <c:idx val="9"/>
              <c:layout>
                <c:manualLayout>
                  <c:x val="-1.1755134976040636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906150793650795"/>
                      <c:h val="3.205044444444444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EFF3-42BB-8522-55A8DDF2A759}"/>
                </c:ext>
              </c:extLst>
            </c:dLbl>
            <c:dLbl>
              <c:idx val="11"/>
              <c:layout>
                <c:manualLayout>
                  <c:x val="1.1904761904761904E-6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FF3-42BB-8522-55A8DDF2A759}"/>
                </c:ext>
              </c:extLst>
            </c:dLbl>
            <c:dLbl>
              <c:idx val="13"/>
              <c:layout>
                <c:manualLayout>
                  <c:x val="-4.1999160016799666E-3"/>
                  <c:y val="-8.6243074432782728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FF3-42BB-8522-55A8DDF2A759}"/>
                </c:ext>
              </c:extLst>
            </c:dLbl>
            <c:dLbl>
              <c:idx val="14"/>
              <c:layout>
                <c:manualLayout>
                  <c:x val="-1.0077814191747815E-2"/>
                  <c:y val="-4.7014439553987893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73268921095005"/>
                      <c:h val="3.48726666666666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EFF3-42BB-8522-55A8DDF2A759}"/>
                </c:ext>
              </c:extLst>
            </c:dLbl>
            <c:dLbl>
              <c:idx val="17"/>
              <c:layout>
                <c:manualLayout>
                  <c:x val="-9.2393112561059377E-17"/>
                  <c:y val="2.82222222222222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FF3-42BB-8522-55A8DDF2A759}"/>
                </c:ext>
              </c:extLst>
            </c:dLbl>
            <c:dLbl>
              <c:idx val="18"/>
              <c:layout>
                <c:manualLayout>
                  <c:x val="0"/>
                  <c:y val="2.82222222222222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FF3-42BB-8522-55A8DDF2A759}"/>
                </c:ext>
              </c:extLst>
            </c:dLbl>
            <c:dLbl>
              <c:idx val="19"/>
              <c:layout>
                <c:manualLayout>
                  <c:x val="-5.0396825396825393E-3"/>
                  <c:y val="2.822222222222170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FF3-42BB-8522-55A8DDF2A759}"/>
                </c:ext>
              </c:extLst>
            </c:dLbl>
            <c:dLbl>
              <c:idx val="20"/>
              <c:layout>
                <c:manualLayout>
                  <c:x val="-5.0396825396825393E-3"/>
                  <c:y val="2.82222222222222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FF3-42BB-8522-55A8DDF2A759}"/>
                </c:ext>
              </c:extLst>
            </c:dLbl>
            <c:dLbl>
              <c:idx val="21"/>
              <c:layout>
                <c:manualLayout>
                  <c:x val="-5.0396825396826321E-3"/>
                  <c:y val="2.82222222222222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FF3-42BB-8522-55A8DDF2A759}"/>
                </c:ext>
              </c:extLst>
            </c:dLbl>
            <c:dLbl>
              <c:idx val="22"/>
              <c:layout>
                <c:manualLayout>
                  <c:x val="-5.0396825396825393E-3"/>
                  <c:y val="2.822222222222222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FF3-42BB-8522-55A8DDF2A759}"/>
                </c:ext>
              </c:extLst>
            </c:dLbl>
            <c:dLbl>
              <c:idx val="23"/>
              <c:layout>
                <c:manualLayout>
                  <c:x val="-8.3965249828861694E-4"/>
                  <c:y val="2.82216281238395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FF3-42BB-8522-55A8DDF2A759}"/>
                </c:ext>
              </c:extLst>
            </c:dLbl>
            <c:dLbl>
              <c:idx val="24"/>
              <c:layout>
                <c:manualLayout>
                  <c:x val="-1.0079365079365172E-2"/>
                  <c:y val="-2.587007151709662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FF3-42BB-8522-55A8DDF2A759}"/>
                </c:ext>
              </c:extLst>
            </c:dLbl>
            <c:dLbl>
              <c:idx val="25"/>
              <c:layout>
                <c:manualLayout>
                  <c:x val="-1.007936507936517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FF3-42BB-8522-55A8DDF2A759}"/>
                </c:ext>
              </c:extLst>
            </c:dLbl>
            <c:dLbl>
              <c:idx val="26"/>
              <c:layout>
                <c:manualLayout>
                  <c:x val="-1.007936507936517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FF3-42BB-8522-55A8DDF2A759}"/>
                </c:ext>
              </c:extLst>
            </c:dLbl>
            <c:dLbl>
              <c:idx val="27"/>
              <c:layout>
                <c:manualLayout>
                  <c:x val="-5.03968253968253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FF3-42BB-8522-55A8DDF2A759}"/>
                </c:ext>
              </c:extLst>
            </c:dLbl>
            <c:dLbl>
              <c:idx val="28"/>
              <c:layout>
                <c:manualLayout>
                  <c:x val="-5.039682539682632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EFF3-42BB-8522-55A8DDF2A759}"/>
                </c:ext>
              </c:extLst>
            </c:dLbl>
            <c:dLbl>
              <c:idx val="29"/>
              <c:layout>
                <c:manualLayout>
                  <c:x val="-5.039682539682632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EFF3-42BB-8522-55A8DDF2A759}"/>
                </c:ext>
              </c:extLst>
            </c:dLbl>
            <c:dLbl>
              <c:idx val="30"/>
              <c:layout>
                <c:manualLayout>
                  <c:x val="-1.763931650500863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EFF3-42BB-8522-55A8DDF2A759}"/>
                </c:ext>
              </c:extLst>
            </c:dLbl>
            <c:dLbl>
              <c:idx val="31"/>
              <c:tx>
                <c:rich>
                  <a:bodyPr wrap="square" lIns="0" tIns="0" rIns="0" bIns="0" anchor="ctr" anchorCtr="0">
                    <a:noAutofit/>
                  </a:bodyPr>
                  <a:lstStyle/>
                  <a:p>
                    <a:pPr algn="r">
                      <a:defRPr/>
                    </a:pPr>
                    <a:fld id="{73880E11-E0CF-4147-AB6F-B0C74B57B8B2}" type="VALUE">
                      <a:rPr lang="en-US" sz="900" baseline="0">
                        <a:solidFill>
                          <a:schemeClr val="bg1"/>
                        </a:solidFill>
                      </a:rPr>
                      <a:pPr algn="r">
                        <a:defRPr/>
                      </a:pPr>
                      <a:t>[VALOR]</a:t>
                    </a:fld>
                    <a:endParaRPr lang="es-MX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643870272200854"/>
                      <c:h val="2.4054131890458297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B-EFF3-42BB-8522-55A8DDF2A759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/>
              <a:lstStyle/>
              <a:p>
                <a:pPr>
                  <a:defRPr sz="900">
                    <a:solidFill>
                      <a:srgbClr val="4D565E"/>
                    </a:solidFill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Ref>
              <c:f>Contribuciones!$G$7:$G$38</c:f>
              <c:strCache>
                <c:ptCount val="32"/>
                <c:pt idx="0">
                  <c:v>Quintana Roo</c:v>
                </c:pt>
                <c:pt idx="1">
                  <c:v>Campeche</c:v>
                </c:pt>
                <c:pt idx="2">
                  <c:v>Tabasco</c:v>
                </c:pt>
                <c:pt idx="3">
                  <c:v>Michoacán</c:v>
                </c:pt>
                <c:pt idx="4">
                  <c:v>Jalisco</c:v>
                </c:pt>
                <c:pt idx="5">
                  <c:v>San Luis Potosí</c:v>
                </c:pt>
                <c:pt idx="6">
                  <c:v>Aguascalientes</c:v>
                </c:pt>
                <c:pt idx="7">
                  <c:v>Sonora</c:v>
                </c:pt>
                <c:pt idx="8">
                  <c:v>Coahuila</c:v>
                </c:pt>
                <c:pt idx="9">
                  <c:v>Ciudad de México</c:v>
                </c:pt>
                <c:pt idx="10">
                  <c:v>Sinaloa</c:v>
                </c:pt>
                <c:pt idx="11">
                  <c:v>Nayarit</c:v>
                </c:pt>
                <c:pt idx="12">
                  <c:v>Yucatán</c:v>
                </c:pt>
                <c:pt idx="13">
                  <c:v>Baja California Sur</c:v>
                </c:pt>
                <c:pt idx="14">
                  <c:v>Chiapas</c:v>
                </c:pt>
                <c:pt idx="15">
                  <c:v>Tlaxcala</c:v>
                </c:pt>
                <c:pt idx="16">
                  <c:v>Colima</c:v>
                </c:pt>
                <c:pt idx="17">
                  <c:v>Chihuahua</c:v>
                </c:pt>
                <c:pt idx="18">
                  <c:v>Guerrero</c:v>
                </c:pt>
                <c:pt idx="19">
                  <c:v>Morelos</c:v>
                </c:pt>
                <c:pt idx="20">
                  <c:v>Zacatecas</c:v>
                </c:pt>
                <c:pt idx="21">
                  <c:v>Tamaulipas</c:v>
                </c:pt>
                <c:pt idx="22">
                  <c:v>Hidalgo</c:v>
                </c:pt>
                <c:pt idx="23">
                  <c:v>Baja California</c:v>
                </c:pt>
                <c:pt idx="24">
                  <c:v>Durango</c:v>
                </c:pt>
                <c:pt idx="25">
                  <c:v>Querétaro</c:v>
                </c:pt>
                <c:pt idx="26">
                  <c:v>Puebla</c:v>
                </c:pt>
                <c:pt idx="27">
                  <c:v>Oaxaca</c:v>
                </c:pt>
                <c:pt idx="28">
                  <c:v>Veracruz</c:v>
                </c:pt>
                <c:pt idx="29">
                  <c:v>México</c:v>
                </c:pt>
                <c:pt idx="30">
                  <c:v>Guanajuato</c:v>
                </c:pt>
                <c:pt idx="31">
                  <c:v>Nuevo León</c:v>
                </c:pt>
              </c:strCache>
            </c:strRef>
          </c:cat>
          <c:val>
            <c:numRef>
              <c:f>Contribuciones!$H$7:$H$38</c:f>
              <c:numCache>
                <c:formatCode>0.00</c:formatCode>
                <c:ptCount val="32"/>
                <c:pt idx="0">
                  <c:v>-0.67176288492756309</c:v>
                </c:pt>
                <c:pt idx="1">
                  <c:v>-0.63857560547137249</c:v>
                </c:pt>
                <c:pt idx="2">
                  <c:v>-0.55308198333680136</c:v>
                </c:pt>
                <c:pt idx="3">
                  <c:v>-0.19978173211919564</c:v>
                </c:pt>
                <c:pt idx="4">
                  <c:v>-0.16128233242490209</c:v>
                </c:pt>
                <c:pt idx="5">
                  <c:v>-0.14159356509029325</c:v>
                </c:pt>
                <c:pt idx="6">
                  <c:v>-8.1635511968871671E-2</c:v>
                </c:pt>
                <c:pt idx="7">
                  <c:v>-7.2690575681592484E-2</c:v>
                </c:pt>
                <c:pt idx="8">
                  <c:v>-5.642309251321713E-2</c:v>
                </c:pt>
                <c:pt idx="9">
                  <c:v>-4.1302491440372568E-2</c:v>
                </c:pt>
                <c:pt idx="10">
                  <c:v>-3.0377527652303293E-2</c:v>
                </c:pt>
                <c:pt idx="11">
                  <c:v>-2.3703693624110247E-2</c:v>
                </c:pt>
                <c:pt idx="12">
                  <c:v>-8.5507511396776745E-3</c:v>
                </c:pt>
                <c:pt idx="13">
                  <c:v>2.9353999061772179E-3</c:v>
                </c:pt>
                <c:pt idx="14">
                  <c:v>6.1900780529055939E-3</c:v>
                </c:pt>
                <c:pt idx="15">
                  <c:v>1.2338107948668225E-2</c:v>
                </c:pt>
                <c:pt idx="16">
                  <c:v>1.6435441608141088E-2</c:v>
                </c:pt>
                <c:pt idx="17">
                  <c:v>1.9128454231123276E-2</c:v>
                </c:pt>
                <c:pt idx="18">
                  <c:v>2.128671873866482E-2</c:v>
                </c:pt>
                <c:pt idx="19">
                  <c:v>4.3286412312652081E-2</c:v>
                </c:pt>
                <c:pt idx="20">
                  <c:v>4.8847734771157759E-2</c:v>
                </c:pt>
                <c:pt idx="21">
                  <c:v>6.2816146960134628E-2</c:v>
                </c:pt>
                <c:pt idx="22">
                  <c:v>6.5759020384408604E-2</c:v>
                </c:pt>
                <c:pt idx="23">
                  <c:v>6.5796514875319498E-2</c:v>
                </c:pt>
                <c:pt idx="24">
                  <c:v>0.10800345914372149</c:v>
                </c:pt>
                <c:pt idx="25">
                  <c:v>0.12909710821907658</c:v>
                </c:pt>
                <c:pt idx="26">
                  <c:v>0.26646395641020476</c:v>
                </c:pt>
                <c:pt idx="27">
                  <c:v>0.2890574671414961</c:v>
                </c:pt>
                <c:pt idx="28">
                  <c:v>0.30979648879764343</c:v>
                </c:pt>
                <c:pt idx="29">
                  <c:v>0.34936603985791542</c:v>
                </c:pt>
                <c:pt idx="30">
                  <c:v>0.51120091919763033</c:v>
                </c:pt>
                <c:pt idx="31">
                  <c:v>0.86388653247177949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EFF3-42BB-8522-55A8DDF2A7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axId val="417155176"/>
        <c:axId val="417151648"/>
      </c:barChart>
      <c:catAx>
        <c:axId val="417155176"/>
        <c:scaling>
          <c:orientation val="minMax"/>
        </c:scaling>
        <c:delete val="0"/>
        <c:axPos val="l"/>
        <c:numFmt formatCode="General" sourceLinked="0"/>
        <c:majorTickMark val="cross"/>
        <c:minorTickMark val="none"/>
        <c:tickLblPos val="low"/>
        <c:spPr>
          <a:ln w="6350">
            <a:solidFill>
              <a:srgbClr val="C0C0C0"/>
            </a:solidFill>
          </a:ln>
        </c:spPr>
        <c:txPr>
          <a:bodyPr/>
          <a:lstStyle/>
          <a:p>
            <a:pPr>
              <a:defRPr sz="900">
                <a:solidFill>
                  <a:srgbClr val="4D565E"/>
                </a:solidFill>
              </a:defRPr>
            </a:pPr>
            <a:endParaRPr lang="es-MX"/>
          </a:p>
        </c:txPr>
        <c:crossAx val="417151648"/>
        <c:crosses val="autoZero"/>
        <c:auto val="1"/>
        <c:lblAlgn val="ctr"/>
        <c:lblOffset val="100"/>
        <c:noMultiLvlLbl val="0"/>
      </c:catAx>
      <c:valAx>
        <c:axId val="417151648"/>
        <c:scaling>
          <c:orientation val="minMax"/>
          <c:max val="0.70000000000000007"/>
          <c:min val="-0.70000000000000007"/>
        </c:scaling>
        <c:delete val="0"/>
        <c:axPos val="b"/>
        <c:numFmt formatCode="#,##0.00" sourceLinked="0"/>
        <c:majorTickMark val="out"/>
        <c:minorTickMark val="none"/>
        <c:tickLblPos val="nextTo"/>
        <c:spPr>
          <a:ln w="9525">
            <a:solidFill>
              <a:srgbClr val="D8551E"/>
            </a:solidFill>
          </a:ln>
        </c:spPr>
        <c:txPr>
          <a:bodyPr/>
          <a:lstStyle/>
          <a:p>
            <a:pPr>
              <a:defRPr sz="900">
                <a:solidFill>
                  <a:srgbClr val="4D565E"/>
                </a:solidFill>
              </a:defRPr>
            </a:pPr>
            <a:endParaRPr lang="es-MX"/>
          </a:p>
        </c:txPr>
        <c:crossAx val="417155176"/>
        <c:crosses val="autoZero"/>
        <c:crossBetween val="between"/>
        <c:majorUnit val="0.35000000000000003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 w="6350">
      <a:solidFill>
        <a:srgbClr val="C0C0C0"/>
      </a:solidFill>
    </a:ln>
    <a:effectLst/>
  </c:spPr>
  <c:txPr>
    <a:bodyPr/>
    <a:lstStyle/>
    <a:p>
      <a:pPr>
        <a:defRPr sz="75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  <c:userShapes r:id="rId2"/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5700317460317458"/>
          <c:y val="1.9088888888888891E-2"/>
          <c:w val="0.55954329004329006"/>
          <c:h val="0.9511583220743766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'Variaciones por EF'!$O$4</c:f>
              <c:strCache>
                <c:ptCount val="1"/>
                <c:pt idx="0">
                  <c:v>Terciarias</c:v>
                </c:pt>
              </c:strCache>
            </c:strRef>
          </c:tx>
          <c:spPr>
            <a:solidFill>
              <a:srgbClr val="08989C"/>
            </a:solidFill>
            <a:ln w="0">
              <a:noFill/>
            </a:ln>
            <a:effectLst/>
          </c:spPr>
          <c:invertIfNegative val="0"/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D4E3-4172-A741-97D0EC391DE1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D4E3-4172-A741-97D0EC391DE1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D4E3-4172-A741-97D0EC391DE1}"/>
              </c:ext>
            </c:extLst>
          </c:dPt>
          <c:dPt>
            <c:idx val="1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D4E3-4172-A741-97D0EC391DE1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D4E3-4172-A741-97D0EC391DE1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D4E3-4172-A741-97D0EC391DE1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D4E3-4172-A741-97D0EC391DE1}"/>
              </c:ext>
            </c:extLst>
          </c:dPt>
          <c:dPt>
            <c:idx val="18"/>
            <c:invertIfNegative val="0"/>
            <c:bubble3D val="0"/>
            <c:spPr>
              <a:solidFill>
                <a:srgbClr val="C0C0C0"/>
              </a:solidFill>
              <a:ln w="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D4E3-4172-A741-97D0EC391DE1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D4E3-4172-A741-97D0EC391DE1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D4E3-4172-A741-97D0EC391DE1}"/>
              </c:ext>
            </c:extLst>
          </c:dPt>
          <c:dPt>
            <c:idx val="2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D4E3-4172-A741-97D0EC391DE1}"/>
              </c:ext>
            </c:extLst>
          </c:dPt>
          <c:dLbls>
            <c:dLbl>
              <c:idx val="0"/>
              <c:layout>
                <c:manualLayout>
                  <c:x val="-9.7047619047619053E-3"/>
                  <c:y val="1.60822222222211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4E3-4172-A741-97D0EC391DE1}"/>
                </c:ext>
              </c:extLst>
            </c:dLbl>
            <c:dLbl>
              <c:idx val="1"/>
              <c:layout>
                <c:manualLayout>
                  <c:x val="-7.781746031746032E-3"/>
                  <c:y val="-7.01999999999896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4E3-4172-A741-97D0EC391DE1}"/>
                </c:ext>
              </c:extLst>
            </c:dLbl>
            <c:dLbl>
              <c:idx val="2"/>
              <c:layout>
                <c:manualLayout>
                  <c:x val="-7.7853174603174603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4E3-4172-A741-97D0EC391DE1}"/>
                </c:ext>
              </c:extLst>
            </c:dLbl>
            <c:dLbl>
              <c:idx val="3"/>
              <c:layout>
                <c:manualLayout>
                  <c:x val="-1.2821825396825397E-2"/>
                  <c:y val="-7.020000000001034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4E3-4172-A741-97D0EC391DE1}"/>
                </c:ext>
              </c:extLst>
            </c:dLbl>
            <c:dLbl>
              <c:idx val="4"/>
              <c:layout>
                <c:manualLayout>
                  <c:x val="-3.1984126984126982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4E3-4172-A741-97D0EC391DE1}"/>
                </c:ext>
              </c:extLst>
            </c:dLbl>
            <c:dLbl>
              <c:idx val="5"/>
              <c:layout>
                <c:manualLayout>
                  <c:x val="-3.2000000000000002E-3"/>
                  <c:y val="-7.020000000001034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4E3-4172-A741-97D0EC391DE1}"/>
                </c:ext>
              </c:extLst>
            </c:dLbl>
            <c:dLbl>
              <c:idx val="6"/>
              <c:layout>
                <c:manualLayout>
                  <c:x val="-3.2007936507936507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D4E3-4172-A741-97D0EC391DE1}"/>
                </c:ext>
              </c:extLst>
            </c:dLbl>
            <c:dLbl>
              <c:idx val="7"/>
              <c:layout>
                <c:manualLayout>
                  <c:x val="-1.4297076263199222E-2"/>
                  <c:y val="-2.11310320303811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4540079365079382E-2"/>
                      <c:h val="3.064644444444444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D4E3-4172-A741-97D0EC391DE1}"/>
                </c:ext>
              </c:extLst>
            </c:dLbl>
            <c:dLbl>
              <c:idx val="8"/>
              <c:layout>
                <c:manualLayout>
                  <c:x val="-6.1285714285714285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4E3-4172-A741-97D0EC391DE1}"/>
                </c:ext>
              </c:extLst>
            </c:dLbl>
            <c:dLbl>
              <c:idx val="9"/>
              <c:layout>
                <c:manualLayout>
                  <c:x val="-1.0761507936507844E-2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7442063492063496E-2"/>
                      <c:h val="3.357044444444444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D4E3-4172-A741-97D0EC391DE1}"/>
                </c:ext>
              </c:extLst>
            </c:dLbl>
            <c:dLbl>
              <c:idx val="10"/>
              <c:layout>
                <c:manualLayout>
                  <c:x val="-1.3279761904761905E-2"/>
                  <c:y val="2.1201111111111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507738095238095"/>
                      <c:h val="4.192111111111110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D4E3-4172-A741-97D0EC391DE1}"/>
                </c:ext>
              </c:extLst>
            </c:dLbl>
            <c:dLbl>
              <c:idx val="11"/>
              <c:layout>
                <c:manualLayout>
                  <c:x val="-3.2519841269841271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4E3-4172-A741-97D0EC391DE1}"/>
                </c:ext>
              </c:extLst>
            </c:dLbl>
            <c:dLbl>
              <c:idx val="12"/>
              <c:layout>
                <c:manualLayout>
                  <c:x val="-3.6611111111112035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D4E3-4172-A741-97D0EC391DE1}"/>
                </c:ext>
              </c:extLst>
            </c:dLbl>
            <c:dLbl>
              <c:idx val="13"/>
              <c:layout>
                <c:manualLayout>
                  <c:x val="-3.6611111111111111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4E3-4172-A741-97D0EC391DE1}"/>
                </c:ext>
              </c:extLst>
            </c:dLbl>
            <c:dLbl>
              <c:idx val="14"/>
              <c:layout>
                <c:manualLayout>
                  <c:x val="-3.6626984126984126E-3"/>
                  <c:y val="-7.020000000000000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4E3-4172-A741-97D0EC391DE1}"/>
                </c:ext>
              </c:extLst>
            </c:dLbl>
            <c:dLbl>
              <c:idx val="15"/>
              <c:layout>
                <c:manualLayout>
                  <c:x val="-3.6634920634920636E-3"/>
                  <c:y val="-3.52422222222232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4E3-4172-A741-97D0EC391DE1}"/>
                </c:ext>
              </c:extLst>
            </c:dLbl>
            <c:dLbl>
              <c:idx val="16"/>
              <c:layout>
                <c:manualLayout>
                  <c:x val="-3.6642857142857141E-3"/>
                  <c:y val="-1.034802860683865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4E3-4172-A741-97D0EC391DE1}"/>
                </c:ext>
              </c:extLst>
            </c:dLbl>
            <c:dLbl>
              <c:idx val="17"/>
              <c:layout>
                <c:manualLayout>
                  <c:x val="-3.6650793650794575E-3"/>
                  <c:y val="-5.1740143034193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4E3-4172-A741-97D0EC391DE1}"/>
                </c:ext>
              </c:extLst>
            </c:dLbl>
            <c:dLbl>
              <c:idx val="18"/>
              <c:layout>
                <c:manualLayout>
                  <c:x val="-3.6650793650793651E-3"/>
                  <c:y val="-5.1740143034193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4E3-4172-A741-97D0EC391DE1}"/>
                </c:ext>
              </c:extLst>
            </c:dLbl>
            <c:dLbl>
              <c:idx val="19"/>
              <c:layout>
                <c:manualLayout>
                  <c:x val="-3.6650793650794575E-3"/>
                  <c:y val="-5.1740143034193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4E3-4172-A741-97D0EC391DE1}"/>
                </c:ext>
              </c:extLst>
            </c:dLbl>
            <c:dLbl>
              <c:idx val="20"/>
              <c:layout>
                <c:manualLayout>
                  <c:x val="-3.6650793650793651E-3"/>
                  <c:y val="-5.1740143034193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4E3-4172-A741-97D0EC391DE1}"/>
                </c:ext>
              </c:extLst>
            </c:dLbl>
            <c:dLbl>
              <c:idx val="21"/>
              <c:layout>
                <c:manualLayout>
                  <c:x val="-3.665079365079365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D4E3-4172-A741-97D0EC391DE1}"/>
                </c:ext>
              </c:extLst>
            </c:dLbl>
            <c:dLbl>
              <c:idx val="22"/>
              <c:layout>
                <c:manualLayout>
                  <c:x val="-3.6650793650793651E-3"/>
                  <c:y val="-5.1740143034193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D4E3-4172-A741-97D0EC391DE1}"/>
                </c:ext>
              </c:extLst>
            </c:dLbl>
            <c:dLbl>
              <c:idx val="23"/>
              <c:layout>
                <c:manualLayout>
                  <c:x val="-3.6650793650794575E-3"/>
                  <c:y val="-5.17401430341932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4E3-4172-A741-97D0EC391DE1}"/>
                </c:ext>
              </c:extLst>
            </c:dLbl>
            <c:dLbl>
              <c:idx val="24"/>
              <c:layout>
                <c:manualLayout>
                  <c:x val="-3.6650793650793651E-3"/>
                  <c:y val="-2.82222222222227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D4E3-4172-A741-97D0EC391DE1}"/>
                </c:ext>
              </c:extLst>
            </c:dLbl>
            <c:dLbl>
              <c:idx val="25"/>
              <c:layout>
                <c:manualLayout>
                  <c:x val="-3.6650793650793651E-3"/>
                  <c:y val="-2.82222222222222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D4E3-4172-A741-97D0EC391DE1}"/>
                </c:ext>
              </c:extLst>
            </c:dLbl>
            <c:dLbl>
              <c:idx val="26"/>
              <c:layout>
                <c:manualLayout>
                  <c:x val="-3.6650793650794575E-3"/>
                  <c:y val="-2.82222222222224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D4E3-4172-A741-97D0EC391DE1}"/>
                </c:ext>
              </c:extLst>
            </c:dLbl>
            <c:dLbl>
              <c:idx val="27"/>
              <c:layout>
                <c:manualLayout>
                  <c:x val="-2.0387698412698413E-2"/>
                  <c:y val="-3.507777777778036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82845238095238"/>
                      <c:h val="3.557466666666665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C-D4E3-4172-A741-97D0EC391DE1}"/>
                </c:ext>
              </c:extLst>
            </c:dLbl>
            <c:dLbl>
              <c:idx val="28"/>
              <c:layout>
                <c:manualLayout>
                  <c:x val="-3.0490728768101805E-4"/>
                  <c:y val="-2.156076860819568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D4E3-4172-A741-97D0EC391DE1}"/>
                </c:ext>
              </c:extLst>
            </c:dLbl>
            <c:dLbl>
              <c:idx val="29"/>
              <c:layout>
                <c:manualLayout>
                  <c:x val="-8.7047392910409513E-3"/>
                  <c:y val="-2.156076860819568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D4E3-4172-A741-97D0EC391DE1}"/>
                </c:ext>
              </c:extLst>
            </c:dLbl>
            <c:dLbl>
              <c:idx val="30"/>
              <c:layout>
                <c:manualLayout>
                  <c:x val="-4.5048232893609846E-3"/>
                  <c:y val="-1.0780384304097841E-17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900" b="0">
                      <a:solidFill>
                        <a:srgbClr val="4D565E"/>
                      </a:solidFill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D4E3-4172-A741-97D0EC391DE1}"/>
                </c:ext>
              </c:extLst>
            </c:dLbl>
            <c:dLbl>
              <c:idx val="31"/>
              <c:layout>
                <c:manualLayout>
                  <c:x val="1.7950507131589619E-3"/>
                  <c:y val="-3.6862873864507151E-18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 b="0">
                      <a:solidFill>
                        <a:srgbClr val="4D565E"/>
                      </a:solidFill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583202981609648E-2"/>
                      <c:h val="3.20476052453927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0-D4E3-4172-A741-97D0EC391DE1}"/>
                </c:ext>
              </c:extLst>
            </c:dLbl>
            <c:dLbl>
              <c:idx val="32"/>
              <c:layout>
                <c:manualLayout>
                  <c:x val="-9.544391789329568E-3"/>
                  <c:y val="-7.0229960523428042E-4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900" b="0">
                      <a:solidFill>
                        <a:srgbClr val="4D565E"/>
                      </a:solidFill>
                    </a:defRPr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D4E3-4172-A741-97D0EC391DE1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solidFill>
                      <a:srgbClr val="4D565E"/>
                    </a:solidFill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'Variaciones por EF'!$N$6:$N$38</c:f>
              <c:strCache>
                <c:ptCount val="33"/>
                <c:pt idx="0">
                  <c:v>Quintana Roo</c:v>
                </c:pt>
                <c:pt idx="1">
                  <c:v>Campeche</c:v>
                </c:pt>
                <c:pt idx="2">
                  <c:v>Tabasco</c:v>
                </c:pt>
                <c:pt idx="3">
                  <c:v>Nayarit</c:v>
                </c:pt>
                <c:pt idx="4">
                  <c:v>Guerrero</c:v>
                </c:pt>
                <c:pt idx="5">
                  <c:v>Querétaro</c:v>
                </c:pt>
                <c:pt idx="6">
                  <c:v>Morelos</c:v>
                </c:pt>
                <c:pt idx="7">
                  <c:v>Jalisco</c:v>
                </c:pt>
                <c:pt idx="8">
                  <c:v>Sonora</c:v>
                </c:pt>
                <c:pt idx="9">
                  <c:v>Colima</c:v>
                </c:pt>
                <c:pt idx="10">
                  <c:v>Ciudad de México</c:v>
                </c:pt>
                <c:pt idx="11">
                  <c:v>México</c:v>
                </c:pt>
                <c:pt idx="12">
                  <c:v>Oaxaca</c:v>
                </c:pt>
                <c:pt idx="13">
                  <c:v>San Luis Potosí</c:v>
                </c:pt>
                <c:pt idx="14">
                  <c:v>Baja California</c:v>
                </c:pt>
                <c:pt idx="15">
                  <c:v>Chihuahua</c:v>
                </c:pt>
                <c:pt idx="16">
                  <c:v>Baja California Sur</c:v>
                </c:pt>
                <c:pt idx="17">
                  <c:v>Aguascalientes</c:v>
                </c:pt>
                <c:pt idx="18">
                  <c:v>Nacional</c:v>
                </c:pt>
                <c:pt idx="19">
                  <c:v>Hidalgo</c:v>
                </c:pt>
                <c:pt idx="20">
                  <c:v>Durango</c:v>
                </c:pt>
                <c:pt idx="21">
                  <c:v>Tlaxcala</c:v>
                </c:pt>
                <c:pt idx="22">
                  <c:v>Guanajuato</c:v>
                </c:pt>
                <c:pt idx="23">
                  <c:v>Sinaloa</c:v>
                </c:pt>
                <c:pt idx="24">
                  <c:v>Veracruz</c:v>
                </c:pt>
                <c:pt idx="25">
                  <c:v>Chiapas</c:v>
                </c:pt>
                <c:pt idx="26">
                  <c:v>Nuevo León</c:v>
                </c:pt>
                <c:pt idx="27">
                  <c:v>Yucatán</c:v>
                </c:pt>
                <c:pt idx="28">
                  <c:v>Michoacán</c:v>
                </c:pt>
                <c:pt idx="29">
                  <c:v>Coahuila</c:v>
                </c:pt>
                <c:pt idx="30">
                  <c:v>Puebla</c:v>
                </c:pt>
                <c:pt idx="31">
                  <c:v>Zacatecas</c:v>
                </c:pt>
                <c:pt idx="32">
                  <c:v>Tamaulipas</c:v>
                </c:pt>
              </c:strCache>
            </c:strRef>
          </c:cat>
          <c:val>
            <c:numRef>
              <c:f>'Variaciones por EF'!$O$6:$O$38</c:f>
              <c:numCache>
                <c:formatCode>0.0</c:formatCode>
                <c:ptCount val="33"/>
                <c:pt idx="0">
                  <c:v>-1.0122455058396156</c:v>
                </c:pt>
                <c:pt idx="1">
                  <c:v>-0.99986548918063534</c:v>
                </c:pt>
                <c:pt idx="2">
                  <c:v>0.37332872899649772</c:v>
                </c:pt>
                <c:pt idx="3">
                  <c:v>0.57829243159790167</c:v>
                </c:pt>
                <c:pt idx="4">
                  <c:v>0.70578320442871245</c:v>
                </c:pt>
                <c:pt idx="5">
                  <c:v>1.1077450656395484</c:v>
                </c:pt>
                <c:pt idx="6">
                  <c:v>1.2092750890639934</c:v>
                </c:pt>
                <c:pt idx="7">
                  <c:v>1.2380968034512136</c:v>
                </c:pt>
                <c:pt idx="8">
                  <c:v>1.3677870078362133</c:v>
                </c:pt>
                <c:pt idx="9">
                  <c:v>1.438125051440494</c:v>
                </c:pt>
                <c:pt idx="10">
                  <c:v>1.5260093271398176</c:v>
                </c:pt>
                <c:pt idx="11">
                  <c:v>1.7430088674524598</c:v>
                </c:pt>
                <c:pt idx="12">
                  <c:v>2.0074034211140912</c:v>
                </c:pt>
                <c:pt idx="13">
                  <c:v>2.049052392455792</c:v>
                </c:pt>
                <c:pt idx="14">
                  <c:v>2.0995233178481669</c:v>
                </c:pt>
                <c:pt idx="15">
                  <c:v>2.119222201176413</c:v>
                </c:pt>
                <c:pt idx="16">
                  <c:v>2.1540659445843886</c:v>
                </c:pt>
                <c:pt idx="17">
                  <c:v>2.1901797458511112</c:v>
                </c:pt>
                <c:pt idx="18">
                  <c:v>2.2097383997026201</c:v>
                </c:pt>
                <c:pt idx="19">
                  <c:v>2.3161431564552686</c:v>
                </c:pt>
                <c:pt idx="20">
                  <c:v>2.501208845341111</c:v>
                </c:pt>
                <c:pt idx="21">
                  <c:v>2.5969793471197704</c:v>
                </c:pt>
                <c:pt idx="22">
                  <c:v>2.7210196816625682</c:v>
                </c:pt>
                <c:pt idx="23">
                  <c:v>2.8211615096717821</c:v>
                </c:pt>
                <c:pt idx="24">
                  <c:v>3.3608550953667446</c:v>
                </c:pt>
                <c:pt idx="25">
                  <c:v>3.4987320232038286</c:v>
                </c:pt>
                <c:pt idx="26">
                  <c:v>3.6597512404888022</c:v>
                </c:pt>
                <c:pt idx="27">
                  <c:v>3.9081372085504995</c:v>
                </c:pt>
                <c:pt idx="28">
                  <c:v>3.9150148634319493</c:v>
                </c:pt>
                <c:pt idx="29">
                  <c:v>4.1378149011385119</c:v>
                </c:pt>
                <c:pt idx="30">
                  <c:v>4.2035352221235058</c:v>
                </c:pt>
                <c:pt idx="31">
                  <c:v>4.2237726729267138</c:v>
                </c:pt>
                <c:pt idx="32">
                  <c:v>4.4406192419761794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D4E3-4172-A741-97D0EC391D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axId val="499233088"/>
        <c:axId val="499244848"/>
      </c:barChart>
      <c:catAx>
        <c:axId val="499233088"/>
        <c:scaling>
          <c:orientation val="minMax"/>
        </c:scaling>
        <c:delete val="0"/>
        <c:axPos val="l"/>
        <c:numFmt formatCode="General" sourceLinked="0"/>
        <c:majorTickMark val="cross"/>
        <c:minorTickMark val="none"/>
        <c:tickLblPos val="low"/>
        <c:spPr>
          <a:ln w="6350">
            <a:solidFill>
              <a:srgbClr val="C0C0C0"/>
            </a:solidFill>
          </a:ln>
        </c:spPr>
        <c:txPr>
          <a:bodyPr/>
          <a:lstStyle/>
          <a:p>
            <a:pPr>
              <a:defRPr sz="900">
                <a:solidFill>
                  <a:srgbClr val="4D565E"/>
                </a:solidFill>
              </a:defRPr>
            </a:pPr>
            <a:endParaRPr lang="es-MX"/>
          </a:p>
        </c:txPr>
        <c:crossAx val="499244848"/>
        <c:crosses val="autoZero"/>
        <c:auto val="1"/>
        <c:lblAlgn val="ctr"/>
        <c:lblOffset val="100"/>
        <c:noMultiLvlLbl val="0"/>
      </c:catAx>
      <c:valAx>
        <c:axId val="499244848"/>
        <c:scaling>
          <c:orientation val="minMax"/>
          <c:max val="5"/>
          <c:min val="-2"/>
        </c:scaling>
        <c:delete val="0"/>
        <c:axPos val="b"/>
        <c:numFmt formatCode="#,##0.0" sourceLinked="0"/>
        <c:majorTickMark val="out"/>
        <c:minorTickMark val="none"/>
        <c:tickLblPos val="nextTo"/>
        <c:spPr>
          <a:ln w="9525">
            <a:solidFill>
              <a:srgbClr val="D8551E"/>
            </a:solidFill>
          </a:ln>
        </c:spPr>
        <c:txPr>
          <a:bodyPr/>
          <a:lstStyle/>
          <a:p>
            <a:pPr>
              <a:defRPr sz="900">
                <a:solidFill>
                  <a:srgbClr val="4D565E"/>
                </a:solidFill>
              </a:defRPr>
            </a:pPr>
            <a:endParaRPr lang="es-MX"/>
          </a:p>
        </c:txPr>
        <c:crossAx val="499233088"/>
        <c:crosses val="autoZero"/>
        <c:crossBetween val="between"/>
        <c:majorUnit val="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 w="6350">
      <a:solidFill>
        <a:srgbClr val="C0C0C0"/>
      </a:solidFill>
    </a:ln>
    <a:effectLst/>
  </c:spPr>
  <c:txPr>
    <a:bodyPr/>
    <a:lstStyle/>
    <a:p>
      <a:pPr>
        <a:defRPr sz="75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4728505291005295E-2"/>
          <c:y val="4.9386635001533292E-2"/>
          <c:w val="0.90581803245737891"/>
          <c:h val="0.8238833333333333"/>
        </c:manualLayout>
      </c:layout>
      <c:lineChart>
        <c:grouping val="standard"/>
        <c:varyColors val="0"/>
        <c:ser>
          <c:idx val="0"/>
          <c:order val="0"/>
          <c:tx>
            <c:strRef>
              <c:f>Datos!$I$5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Datos!$I$27:$I$49</c:f>
              <c:numCache>
                <c:formatCode>0.0</c:formatCode>
                <c:ptCount val="23"/>
                <c:pt idx="0">
                  <c:v>95.707185417541993</c:v>
                </c:pt>
                <c:pt idx="1">
                  <c:v>95.180916656271407</c:v>
                </c:pt>
                <c:pt idx="2">
                  <c:v>96.655064603347498</c:v>
                </c:pt>
                <c:pt idx="3">
                  <c:v>96.095398354802299</c:v>
                </c:pt>
                <c:pt idx="4">
                  <c:v>96.150201693194802</c:v>
                </c:pt>
                <c:pt idx="5">
                  <c:v>86.544043408593595</c:v>
                </c:pt>
                <c:pt idx="6">
                  <c:v>86.899160783548595</c:v>
                </c:pt>
                <c:pt idx="7">
                  <c:v>87.355863031835398</c:v>
                </c:pt>
                <c:pt idx="8">
                  <c:v>87.879495130291602</c:v>
                </c:pt>
                <c:pt idx="9">
                  <c:v>87.515889430142906</c:v>
                </c:pt>
                <c:pt idx="10">
                  <c:v>85.805388994411601</c:v>
                </c:pt>
                <c:pt idx="11">
                  <c:v>85.010488601922106</c:v>
                </c:pt>
                <c:pt idx="12">
                  <c:v>83.692851789203004</c:v>
                </c:pt>
                <c:pt idx="13">
                  <c:v>83.948578869951803</c:v>
                </c:pt>
                <c:pt idx="14">
                  <c:v>82.748630793549196</c:v>
                </c:pt>
                <c:pt idx="15">
                  <c:v>83.765256542903003</c:v>
                </c:pt>
                <c:pt idx="16">
                  <c:v>84.459299240023</c:v>
                </c:pt>
                <c:pt idx="17">
                  <c:v>91.547799179069202</c:v>
                </c:pt>
                <c:pt idx="18">
                  <c:v>89.840598399333601</c:v>
                </c:pt>
                <c:pt idx="19">
                  <c:v>93.022499486807504</c:v>
                </c:pt>
                <c:pt idx="20">
                  <c:v>88.616937364217605</c:v>
                </c:pt>
                <c:pt idx="21">
                  <c:v>84.777190057328994</c:v>
                </c:pt>
                <c:pt idx="22">
                  <c:v>80.461020762514707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2C6-4EC9-90FA-DF595DA2800F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Datos!$J$27:$J$49</c:f>
              <c:numCache>
                <c:formatCode>0.0</c:formatCode>
                <c:ptCount val="23"/>
                <c:pt idx="0">
                  <c:v>95.505849640551403</c:v>
                </c:pt>
                <c:pt idx="1">
                  <c:v>95.576250733872698</c:v>
                </c:pt>
                <c:pt idx="2">
                  <c:v>96.164390448043093</c:v>
                </c:pt>
                <c:pt idx="3">
                  <c:v>96.372333819419694</c:v>
                </c:pt>
                <c:pt idx="4">
                  <c:v>95.968186809620605</c:v>
                </c:pt>
                <c:pt idx="5">
                  <c:v>86.682824340135198</c:v>
                </c:pt>
                <c:pt idx="6">
                  <c:v>86.852939133080199</c:v>
                </c:pt>
                <c:pt idx="7">
                  <c:v>87.423379693156605</c:v>
                </c:pt>
                <c:pt idx="8">
                  <c:v>87.843184903201703</c:v>
                </c:pt>
                <c:pt idx="9">
                  <c:v>87.316011157304303</c:v>
                </c:pt>
                <c:pt idx="10">
                  <c:v>86.077128351363399</c:v>
                </c:pt>
                <c:pt idx="11">
                  <c:v>84.750967020381694</c:v>
                </c:pt>
                <c:pt idx="12">
                  <c:v>84.069173211058398</c:v>
                </c:pt>
                <c:pt idx="13">
                  <c:v>83.456526252105405</c:v>
                </c:pt>
                <c:pt idx="14">
                  <c:v>83.204713042076605</c:v>
                </c:pt>
                <c:pt idx="15">
                  <c:v>83.456518272564693</c:v>
                </c:pt>
                <c:pt idx="16">
                  <c:v>84.602676799562104</c:v>
                </c:pt>
                <c:pt idx="17">
                  <c:v>86.778255123672196</c:v>
                </c:pt>
                <c:pt idx="18">
                  <c:v>89.135359270238496</c:v>
                </c:pt>
                <c:pt idx="19">
                  <c:v>89.896421028704495</c:v>
                </c:pt>
                <c:pt idx="20">
                  <c:v>88.294078786519805</c:v>
                </c:pt>
                <c:pt idx="21">
                  <c:v>84.708316183226898</c:v>
                </c:pt>
                <c:pt idx="22">
                  <c:v>81.075573909930796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2C6-4EC9-90FA-DF595DA2800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90000600"/>
        <c:axId val="190002168"/>
      </c:lineChart>
      <c:catAx>
        <c:axId val="19000060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0002168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190002168"/>
        <c:scaling>
          <c:orientation val="minMax"/>
          <c:max val="100"/>
          <c:min val="7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0000600"/>
        <c:crosses val="autoZero"/>
        <c:crossBetween val="between"/>
        <c:majorUnit val="10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7548108880342079"/>
          <c:y val="2.2274222222222223E-2"/>
          <c:w val="0.56253873347729899"/>
          <c:h val="0.9380566666666666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8989C"/>
            </a:solidFill>
            <a:ln>
              <a:noFill/>
            </a:ln>
          </c:spPr>
          <c:invertIfNegative val="0"/>
          <c:dLbls>
            <c:dLbl>
              <c:idx val="0"/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lIns="0" tIns="0" rIns="0" bIns="0" anchorCtr="0"/>
                <a:lstStyle/>
                <a:p>
                  <a:pPr algn="r">
                    <a:defRPr sz="900">
                      <a:solidFill>
                        <a:srgbClr val="4D565E"/>
                      </a:solidFill>
                    </a:defRPr>
                  </a:pPr>
                  <a:endParaRPr lang="es-MX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8.8597393406462582E-2"/>
                      <c:h val="2.263916116683227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E239-4F66-B648-277EF566E1C3}"/>
                </c:ext>
              </c:extLst>
            </c:dLbl>
            <c:dLbl>
              <c:idx val="4"/>
              <c:layout>
                <c:manualLayout>
                  <c:x val="3.9682539682539683E-7"/>
                  <c:y val="-1.034802860683865E-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39-4F66-B648-277EF566E1C3}"/>
                </c:ext>
              </c:extLst>
            </c:dLbl>
            <c:dLbl>
              <c:idx val="5"/>
              <c:layout>
                <c:manualLayout>
                  <c:x val="-1.343873909923384E-2"/>
                  <c:y val="-2.352018416844250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386327561327562"/>
                      <c:h val="2.78241203241203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E239-4F66-B648-277EF566E1C3}"/>
                </c:ext>
              </c:extLst>
            </c:dLbl>
            <c:dLbl>
              <c:idx val="6"/>
              <c:layout>
                <c:manualLayout>
                  <c:x val="3.9682539682539683E-7"/>
                  <c:y val="2.822222222222118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239-4F66-B648-277EF566E1C3}"/>
                </c:ext>
              </c:extLst>
            </c:dLbl>
            <c:dLbl>
              <c:idx val="15"/>
              <c:layout>
                <c:manualLayout>
                  <c:x val="4.199916001679889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239-4F66-B648-277EF566E1C3}"/>
                </c:ext>
              </c:extLst>
            </c:dLbl>
            <c:dLbl>
              <c:idx val="16"/>
              <c:layout>
                <c:manualLayout>
                  <c:x val="8.399832003359933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239-4F66-B648-277EF566E1C3}"/>
                </c:ext>
              </c:extLst>
            </c:dLbl>
            <c:dLbl>
              <c:idx val="24"/>
              <c:layout>
                <c:manualLayout>
                  <c:x val="0"/>
                  <c:y val="-2.587007151709662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239-4F66-B648-277EF566E1C3}"/>
                </c:ext>
              </c:extLst>
            </c:dLbl>
            <c:dLbl>
              <c:idx val="28"/>
              <c:layout>
                <c:manualLayout>
                  <c:x val="-8.3965249828861694E-4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239-4F66-B648-277EF566E1C3}"/>
                </c:ext>
              </c:extLst>
            </c:dLbl>
            <c:dLbl>
              <c:idx val="29"/>
              <c:layout>
                <c:manualLayout>
                  <c:x val="3.3602635033913495E-3"/>
                  <c:y val="-1.078038430409784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239-4F66-B648-277EF566E1C3}"/>
                </c:ext>
              </c:extLst>
            </c:dLbl>
            <c:dLbl>
              <c:idx val="30"/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lIns="0" tIns="0" rIns="0" bIns="0" anchorCtr="0"/>
                <a:lstStyle/>
                <a:p>
                  <a:pPr algn="r">
                    <a:defRPr sz="900">
                      <a:solidFill>
                        <a:schemeClr val="bg1"/>
                      </a:solidFill>
                    </a:defRPr>
                  </a:pPr>
                  <a:endParaRPr lang="es-MX"/>
                </a:p>
              </c:tx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0.37295551726760734"/>
                      <c:h val="3.064652494117407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E239-4F66-B648-277EF566E1C3}"/>
                </c:ext>
              </c:extLst>
            </c:dLbl>
            <c:dLbl>
              <c:idx val="31"/>
              <c:tx>
                <c:rich>
                  <a:bodyPr rot="0" lIns="0" tIns="0" rIns="0" bIns="0" anchorCtr="0"/>
                  <a:lstStyle/>
                  <a:p>
                    <a:pPr algn="r">
                      <a:defRPr sz="900">
                        <a:solidFill>
                          <a:schemeClr val="bg1"/>
                        </a:solidFill>
                      </a:defRPr>
                    </a:pPr>
                    <a:r>
                      <a:rPr lang="en-US" sz="900">
                        <a:solidFill>
                          <a:schemeClr val="bg1"/>
                        </a:solidFill>
                      </a:rPr>
                      <a:t>0.33</a:t>
                    </a:r>
                  </a:p>
                </c:rich>
              </c:tx>
              <c:numFmt formatCode="#,##0.00" sourceLinked="0"/>
              <c:spPr>
                <a:noFill/>
                <a:ln>
                  <a:noFill/>
                </a:ln>
                <a:effectLst/>
              </c:spPr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888913875265802"/>
                      <c:h val="2.2639161166832275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A-E239-4F66-B648-277EF566E1C3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lIns="0" tIns="0" rIns="0" bIns="0"/>
              <a:lstStyle/>
              <a:p>
                <a:pPr>
                  <a:defRPr sz="900">
                    <a:solidFill>
                      <a:srgbClr val="4D565E"/>
                    </a:solidFill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Contribuciones!$J$7:$J$38</c:f>
              <c:strCache>
                <c:ptCount val="32"/>
                <c:pt idx="0">
                  <c:v>Quintana Roo</c:v>
                </c:pt>
                <c:pt idx="1">
                  <c:v>Campeche</c:v>
                </c:pt>
                <c:pt idx="2">
                  <c:v>Nayarit</c:v>
                </c:pt>
                <c:pt idx="3">
                  <c:v>Tabasco</c:v>
                </c:pt>
                <c:pt idx="4">
                  <c:v>Colima</c:v>
                </c:pt>
                <c:pt idx="5">
                  <c:v>Guerrero</c:v>
                </c:pt>
                <c:pt idx="6">
                  <c:v>Morelos</c:v>
                </c:pt>
                <c:pt idx="7">
                  <c:v>Tlaxcala</c:v>
                </c:pt>
                <c:pt idx="8">
                  <c:v>Baja California Sur</c:v>
                </c:pt>
                <c:pt idx="9">
                  <c:v>Aguascalientes</c:v>
                </c:pt>
                <c:pt idx="10">
                  <c:v>Querétaro</c:v>
                </c:pt>
                <c:pt idx="11">
                  <c:v>Durango</c:v>
                </c:pt>
                <c:pt idx="12">
                  <c:v>Zacatecas</c:v>
                </c:pt>
                <c:pt idx="13">
                  <c:v>Sonora</c:v>
                </c:pt>
                <c:pt idx="14">
                  <c:v>San Luis Potosí</c:v>
                </c:pt>
                <c:pt idx="15">
                  <c:v>Oaxaca</c:v>
                </c:pt>
                <c:pt idx="16">
                  <c:v>Hidalgo</c:v>
                </c:pt>
                <c:pt idx="17">
                  <c:v>Chihuahua</c:v>
                </c:pt>
                <c:pt idx="18">
                  <c:v>Chiapas</c:v>
                </c:pt>
                <c:pt idx="19">
                  <c:v>Baja California</c:v>
                </c:pt>
                <c:pt idx="20">
                  <c:v>Sinaloa</c:v>
                </c:pt>
                <c:pt idx="21">
                  <c:v>Yucatán</c:v>
                </c:pt>
                <c:pt idx="22">
                  <c:v>Jalisco</c:v>
                </c:pt>
                <c:pt idx="23">
                  <c:v>Coahuila</c:v>
                </c:pt>
                <c:pt idx="24">
                  <c:v>Guanajuato</c:v>
                </c:pt>
                <c:pt idx="25">
                  <c:v>Michoacán</c:v>
                </c:pt>
                <c:pt idx="26">
                  <c:v>Tamaulipas</c:v>
                </c:pt>
                <c:pt idx="27">
                  <c:v>Puebla</c:v>
                </c:pt>
                <c:pt idx="28">
                  <c:v>Veracruz</c:v>
                </c:pt>
                <c:pt idx="29">
                  <c:v>México</c:v>
                </c:pt>
                <c:pt idx="30">
                  <c:v>Nuevo León</c:v>
                </c:pt>
                <c:pt idx="31">
                  <c:v>Ciudad de México</c:v>
                </c:pt>
              </c:strCache>
            </c:strRef>
          </c:cat>
          <c:val>
            <c:numRef>
              <c:f>Contribuciones!$K$7:$K$38</c:f>
              <c:numCache>
                <c:formatCode>0.00</c:formatCode>
                <c:ptCount val="32"/>
                <c:pt idx="0">
                  <c:v>-2.0410604126585907E-2</c:v>
                </c:pt>
                <c:pt idx="1">
                  <c:v>-6.2811063698463149E-3</c:v>
                </c:pt>
                <c:pt idx="2">
                  <c:v>4.3070412508708486E-3</c:v>
                </c:pt>
                <c:pt idx="3">
                  <c:v>5.409574019008912E-3</c:v>
                </c:pt>
                <c:pt idx="4">
                  <c:v>1.0417951998452973E-2</c:v>
                </c:pt>
                <c:pt idx="5">
                  <c:v>1.1316147638159592E-2</c:v>
                </c:pt>
                <c:pt idx="6">
                  <c:v>1.3815280563861686E-2</c:v>
                </c:pt>
                <c:pt idx="7">
                  <c:v>1.466633514440909E-2</c:v>
                </c:pt>
                <c:pt idx="8">
                  <c:v>1.9501939502771373E-2</c:v>
                </c:pt>
                <c:pt idx="9">
                  <c:v>2.2973039182028723E-2</c:v>
                </c:pt>
                <c:pt idx="10">
                  <c:v>2.3201961668982397E-2</c:v>
                </c:pt>
                <c:pt idx="11">
                  <c:v>2.6778067892795163E-2</c:v>
                </c:pt>
                <c:pt idx="12">
                  <c:v>3.2625477623478366E-2</c:v>
                </c:pt>
                <c:pt idx="13">
                  <c:v>3.2670489792450699E-2</c:v>
                </c:pt>
                <c:pt idx="14">
                  <c:v>3.4855714706144937E-2</c:v>
                </c:pt>
                <c:pt idx="15">
                  <c:v>3.4958091237041376E-2</c:v>
                </c:pt>
                <c:pt idx="16">
                  <c:v>3.7447084800430311E-2</c:v>
                </c:pt>
                <c:pt idx="17">
                  <c:v>6.0090235236905182E-2</c:v>
                </c:pt>
                <c:pt idx="18">
                  <c:v>6.3233372327982429E-2</c:v>
                </c:pt>
                <c:pt idx="19">
                  <c:v>6.4541262397395299E-2</c:v>
                </c:pt>
                <c:pt idx="20">
                  <c:v>6.6854783906972304E-2</c:v>
                </c:pt>
                <c:pt idx="21">
                  <c:v>6.963078318179422E-2</c:v>
                </c:pt>
                <c:pt idx="22">
                  <c:v>9.034720748708755E-2</c:v>
                </c:pt>
                <c:pt idx="23">
                  <c:v>9.8233129893463375E-2</c:v>
                </c:pt>
                <c:pt idx="24">
                  <c:v>0.10898698000291651</c:v>
                </c:pt>
                <c:pt idx="25">
                  <c:v>0.1149088077157194</c:v>
                </c:pt>
                <c:pt idx="26">
                  <c:v>0.12113701331586781</c:v>
                </c:pt>
                <c:pt idx="27">
                  <c:v>0.13665089965950047</c:v>
                </c:pt>
                <c:pt idx="28">
                  <c:v>0.14697383165210681</c:v>
                </c:pt>
                <c:pt idx="29">
                  <c:v>0.17538011108907151</c:v>
                </c:pt>
                <c:pt idx="30">
                  <c:v>0.26346242619168514</c:v>
                </c:pt>
                <c:pt idx="31">
                  <c:v>0.33105506911970722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E239-4F66-B648-277EF566E1C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417157528"/>
        <c:axId val="417157920"/>
      </c:barChart>
      <c:catAx>
        <c:axId val="417157528"/>
        <c:scaling>
          <c:orientation val="minMax"/>
        </c:scaling>
        <c:delete val="0"/>
        <c:axPos val="l"/>
        <c:numFmt formatCode="General" sourceLinked="0"/>
        <c:majorTickMark val="cross"/>
        <c:minorTickMark val="none"/>
        <c:tickLblPos val="low"/>
        <c:spPr>
          <a:ln w="6350">
            <a:solidFill>
              <a:srgbClr val="C0C0C0"/>
            </a:solidFill>
          </a:ln>
        </c:spPr>
        <c:txPr>
          <a:bodyPr/>
          <a:lstStyle/>
          <a:p>
            <a:pPr>
              <a:defRPr sz="900">
                <a:solidFill>
                  <a:srgbClr val="4D565E"/>
                </a:solidFill>
              </a:defRPr>
            </a:pPr>
            <a:endParaRPr lang="es-MX"/>
          </a:p>
        </c:txPr>
        <c:crossAx val="417157920"/>
        <c:crosses val="autoZero"/>
        <c:auto val="1"/>
        <c:lblAlgn val="ctr"/>
        <c:lblOffset val="100"/>
        <c:noMultiLvlLbl val="0"/>
      </c:catAx>
      <c:valAx>
        <c:axId val="417157920"/>
        <c:scaling>
          <c:orientation val="minMax"/>
          <c:max val="0.25"/>
          <c:min val="-0.1"/>
        </c:scaling>
        <c:delete val="0"/>
        <c:axPos val="b"/>
        <c:numFmt formatCode="#,##0.00" sourceLinked="0"/>
        <c:majorTickMark val="out"/>
        <c:minorTickMark val="none"/>
        <c:tickLblPos val="nextTo"/>
        <c:spPr>
          <a:ln w="9525">
            <a:solidFill>
              <a:srgbClr val="D8551E"/>
            </a:solidFill>
          </a:ln>
        </c:spPr>
        <c:txPr>
          <a:bodyPr/>
          <a:lstStyle/>
          <a:p>
            <a:pPr>
              <a:defRPr sz="900">
                <a:solidFill>
                  <a:srgbClr val="4D565E"/>
                </a:solidFill>
              </a:defRPr>
            </a:pPr>
            <a:endParaRPr lang="es-MX"/>
          </a:p>
        </c:txPr>
        <c:crossAx val="417157528"/>
        <c:crosses val="autoZero"/>
        <c:crossBetween val="between"/>
        <c:majorUnit val="0.1"/>
        <c:minorUnit val="0.1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 w="6350">
      <a:solidFill>
        <a:srgbClr val="C0C0C0"/>
      </a:solidFill>
    </a:ln>
    <a:effectLst/>
  </c:spPr>
  <c:txPr>
    <a:bodyPr/>
    <a:lstStyle/>
    <a:p>
      <a:pPr>
        <a:defRPr sz="75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2494583333333338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Datos!$K$27:$K$49</c:f>
              <c:numCache>
                <c:formatCode>0.0</c:formatCode>
                <c:ptCount val="23"/>
                <c:pt idx="0">
                  <c:v>98.646136594503602</c:v>
                </c:pt>
                <c:pt idx="1">
                  <c:v>100.323621299509</c:v>
                </c:pt>
                <c:pt idx="2">
                  <c:v>100.90171311034401</c:v>
                </c:pt>
                <c:pt idx="3">
                  <c:v>94.797591081641301</c:v>
                </c:pt>
                <c:pt idx="4">
                  <c:v>92.3424990493141</c:v>
                </c:pt>
                <c:pt idx="5">
                  <c:v>71.202433411342895</c:v>
                </c:pt>
                <c:pt idx="6">
                  <c:v>90.720086273053994</c:v>
                </c:pt>
                <c:pt idx="7">
                  <c:v>95.116435277131799</c:v>
                </c:pt>
                <c:pt idx="8">
                  <c:v>95.902595817628296</c:v>
                </c:pt>
                <c:pt idx="9">
                  <c:v>98.806644778765303</c:v>
                </c:pt>
                <c:pt idx="10">
                  <c:v>93.166750848591803</c:v>
                </c:pt>
                <c:pt idx="11">
                  <c:v>92.990694065672301</c:v>
                </c:pt>
                <c:pt idx="12">
                  <c:v>95.147699346024496</c:v>
                </c:pt>
                <c:pt idx="13">
                  <c:v>96.241639347618303</c:v>
                </c:pt>
                <c:pt idx="14">
                  <c:v>96.9360209088956</c:v>
                </c:pt>
                <c:pt idx="15">
                  <c:v>98.010717344952099</c:v>
                </c:pt>
                <c:pt idx="16">
                  <c:v>96.753911023122299</c:v>
                </c:pt>
                <c:pt idx="17">
                  <c:v>95.054956746095399</c:v>
                </c:pt>
                <c:pt idx="18">
                  <c:v>95.531587571587195</c:v>
                </c:pt>
                <c:pt idx="19">
                  <c:v>94.781053275860202</c:v>
                </c:pt>
                <c:pt idx="20">
                  <c:v>92.564793040344497</c:v>
                </c:pt>
                <c:pt idx="21">
                  <c:v>97.242010871069596</c:v>
                </c:pt>
                <c:pt idx="22">
                  <c:v>96.514690870086497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DA5-4E13-8830-B6320CD15DBA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Datos!$L$27:$L$49</c:f>
              <c:numCache>
                <c:formatCode>0.0</c:formatCode>
                <c:ptCount val="23"/>
                <c:pt idx="0">
                  <c:v>99.107233793748193</c:v>
                </c:pt>
                <c:pt idx="1">
                  <c:v>100.213272381557</c:v>
                </c:pt>
                <c:pt idx="2">
                  <c:v>99.249900840838393</c:v>
                </c:pt>
                <c:pt idx="3">
                  <c:v>95.483960627820096</c:v>
                </c:pt>
                <c:pt idx="4">
                  <c:v>92.242278713321298</c:v>
                </c:pt>
                <c:pt idx="5">
                  <c:v>90.767020382357202</c:v>
                </c:pt>
                <c:pt idx="6">
                  <c:v>91.612788856859794</c:v>
                </c:pt>
                <c:pt idx="7">
                  <c:v>94.375605097656305</c:v>
                </c:pt>
                <c:pt idx="8">
                  <c:v>95.934299315943505</c:v>
                </c:pt>
                <c:pt idx="9">
                  <c:v>94.763332512758595</c:v>
                </c:pt>
                <c:pt idx="10">
                  <c:v>93.253424925416994</c:v>
                </c:pt>
                <c:pt idx="11">
                  <c:v>93.303115797558206</c:v>
                </c:pt>
                <c:pt idx="12">
                  <c:v>94.849614318787005</c:v>
                </c:pt>
                <c:pt idx="13">
                  <c:v>96.233094955975901</c:v>
                </c:pt>
                <c:pt idx="14">
                  <c:v>97.192403810654298</c:v>
                </c:pt>
                <c:pt idx="15">
                  <c:v>97.672869019279204</c:v>
                </c:pt>
                <c:pt idx="16">
                  <c:v>96.700428703697199</c:v>
                </c:pt>
                <c:pt idx="17">
                  <c:v>95.497020203824405</c:v>
                </c:pt>
                <c:pt idx="18">
                  <c:v>95.158830556143698</c:v>
                </c:pt>
                <c:pt idx="19">
                  <c:v>94.828198589814704</c:v>
                </c:pt>
                <c:pt idx="20">
                  <c:v>94.684403453788406</c:v>
                </c:pt>
                <c:pt idx="21">
                  <c:v>95.609114500309502</c:v>
                </c:pt>
                <c:pt idx="22">
                  <c:v>96.201780889594403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DA5-4E13-8830-B6320CD15DB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91619840"/>
        <c:axId val="191619056"/>
      </c:lineChart>
      <c:catAx>
        <c:axId val="1916198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  <a:effectLst/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619056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191619056"/>
        <c:scaling>
          <c:orientation val="minMax"/>
          <c:max val="110"/>
          <c:min val="7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619840"/>
        <c:crosses val="autoZero"/>
        <c:crossBetween val="between"/>
        <c:majorUnit val="10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2600833333333334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Datos!$M$27:$M$49</c:f>
              <c:numCache>
                <c:formatCode>0.0</c:formatCode>
                <c:ptCount val="23"/>
                <c:pt idx="0">
                  <c:v>100.917368209142</c:v>
                </c:pt>
                <c:pt idx="1">
                  <c:v>104.52052659336699</c:v>
                </c:pt>
                <c:pt idx="2">
                  <c:v>107.153826019668</c:v>
                </c:pt>
                <c:pt idx="3">
                  <c:v>106.805170042249</c:v>
                </c:pt>
                <c:pt idx="4">
                  <c:v>107.290417102288</c:v>
                </c:pt>
                <c:pt idx="5">
                  <c:v>91.546903243925499</c:v>
                </c:pt>
                <c:pt idx="6">
                  <c:v>92.886982342964401</c:v>
                </c:pt>
                <c:pt idx="7">
                  <c:v>93.959107256379497</c:v>
                </c:pt>
                <c:pt idx="8">
                  <c:v>94.071333268907594</c:v>
                </c:pt>
                <c:pt idx="9">
                  <c:v>95.420783683837598</c:v>
                </c:pt>
                <c:pt idx="10">
                  <c:v>94.957505189287403</c:v>
                </c:pt>
                <c:pt idx="11">
                  <c:v>96.978821927900995</c:v>
                </c:pt>
                <c:pt idx="12">
                  <c:v>95.527995407270296</c:v>
                </c:pt>
                <c:pt idx="13">
                  <c:v>96.393284101490707</c:v>
                </c:pt>
                <c:pt idx="14">
                  <c:v>92.607421312410295</c:v>
                </c:pt>
                <c:pt idx="15">
                  <c:v>97.161413292311096</c:v>
                </c:pt>
                <c:pt idx="16">
                  <c:v>100.247965028845</c:v>
                </c:pt>
                <c:pt idx="17">
                  <c:v>98.159291451412599</c:v>
                </c:pt>
                <c:pt idx="18">
                  <c:v>99.5766581401015</c:v>
                </c:pt>
                <c:pt idx="19">
                  <c:v>100.66448531874499</c:v>
                </c:pt>
                <c:pt idx="20">
                  <c:v>102.456793561713</c:v>
                </c:pt>
                <c:pt idx="21">
                  <c:v>103.078648000345</c:v>
                </c:pt>
                <c:pt idx="22">
                  <c:v>101.69542330111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204-4380-8ABC-D9B06BE5C6BC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Datos!$N$27:$N$49</c:f>
              <c:numCache>
                <c:formatCode>0.0</c:formatCode>
                <c:ptCount val="23"/>
                <c:pt idx="0">
                  <c:v>100.86867113534601</c:v>
                </c:pt>
                <c:pt idx="1">
                  <c:v>104.50964859038299</c:v>
                </c:pt>
                <c:pt idx="2">
                  <c:v>106.725899262233</c:v>
                </c:pt>
                <c:pt idx="3">
                  <c:v>107.17153370803101</c:v>
                </c:pt>
                <c:pt idx="4">
                  <c:v>107.074498250684</c:v>
                </c:pt>
                <c:pt idx="5">
                  <c:v>91.766425948354396</c:v>
                </c:pt>
                <c:pt idx="6">
                  <c:v>92.828819661524705</c:v>
                </c:pt>
                <c:pt idx="7">
                  <c:v>93.746972891380906</c:v>
                </c:pt>
                <c:pt idx="8">
                  <c:v>94.455831377951796</c:v>
                </c:pt>
                <c:pt idx="9">
                  <c:v>94.916159668930703</c:v>
                </c:pt>
                <c:pt idx="10">
                  <c:v>95.589326333716897</c:v>
                </c:pt>
                <c:pt idx="11">
                  <c:v>95.877595723877405</c:v>
                </c:pt>
                <c:pt idx="12">
                  <c:v>95.965139998934305</c:v>
                </c:pt>
                <c:pt idx="13">
                  <c:v>96.439161481987995</c:v>
                </c:pt>
                <c:pt idx="14">
                  <c:v>97.289114222046393</c:v>
                </c:pt>
                <c:pt idx="15">
                  <c:v>97.662128439946599</c:v>
                </c:pt>
                <c:pt idx="16">
                  <c:v>97.8678640950382</c:v>
                </c:pt>
                <c:pt idx="17">
                  <c:v>98.4797135084237</c:v>
                </c:pt>
                <c:pt idx="18">
                  <c:v>99.3670039138281</c:v>
                </c:pt>
                <c:pt idx="19">
                  <c:v>100.87807994917701</c:v>
                </c:pt>
                <c:pt idx="20">
                  <c:v>102.38040719724501</c:v>
                </c:pt>
                <c:pt idx="21">
                  <c:v>102.66324795848899</c:v>
                </c:pt>
                <c:pt idx="22">
                  <c:v>102.27848870107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204-4380-8ABC-D9B06BE5C6B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91618664"/>
        <c:axId val="191618272"/>
      </c:lineChart>
      <c:catAx>
        <c:axId val="19161866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618272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191618272"/>
        <c:scaling>
          <c:orientation val="minMax"/>
          <c:max val="110"/>
          <c:min val="9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618664"/>
        <c:crosses val="autoZero"/>
        <c:crossBetween val="between"/>
        <c:majorUnit val="5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5871636024513717E-2"/>
          <c:y val="4.3165119913937927E-2"/>
          <c:w val="0.90581803245737891"/>
          <c:h val="0.82282152777777773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Datos!$O$27:$O$49</c:f>
              <c:numCache>
                <c:formatCode>0.0</c:formatCode>
                <c:ptCount val="23"/>
                <c:pt idx="0">
                  <c:v>96.795858060011795</c:v>
                </c:pt>
                <c:pt idx="1">
                  <c:v>97.604831031063597</c:v>
                </c:pt>
                <c:pt idx="2">
                  <c:v>99.923436463822298</c:v>
                </c:pt>
                <c:pt idx="3">
                  <c:v>100.255521978776</c:v>
                </c:pt>
                <c:pt idx="4">
                  <c:v>98.950921554766097</c:v>
                </c:pt>
                <c:pt idx="5">
                  <c:v>86.832882661979298</c:v>
                </c:pt>
                <c:pt idx="6">
                  <c:v>97.674593792304805</c:v>
                </c:pt>
                <c:pt idx="7">
                  <c:v>98.120279352935995</c:v>
                </c:pt>
                <c:pt idx="8">
                  <c:v>100.02809412021099</c:v>
                </c:pt>
                <c:pt idx="9">
                  <c:v>100.341636727316</c:v>
                </c:pt>
                <c:pt idx="10">
                  <c:v>99.010289825292503</c:v>
                </c:pt>
                <c:pt idx="11">
                  <c:v>101.212429238353</c:v>
                </c:pt>
                <c:pt idx="12">
                  <c:v>103.269188957758</c:v>
                </c:pt>
                <c:pt idx="13">
                  <c:v>107.52737193150401</c:v>
                </c:pt>
                <c:pt idx="14">
                  <c:v>107.057296075946</c:v>
                </c:pt>
                <c:pt idx="15">
                  <c:v>106.481081225637</c:v>
                </c:pt>
                <c:pt idx="16">
                  <c:v>106.737130966306</c:v>
                </c:pt>
                <c:pt idx="17">
                  <c:v>106.12123938616701</c:v>
                </c:pt>
                <c:pt idx="18">
                  <c:v>107.766694452495</c:v>
                </c:pt>
                <c:pt idx="19">
                  <c:v>109.02312815562</c:v>
                </c:pt>
                <c:pt idx="20">
                  <c:v>108.46538709778299</c:v>
                </c:pt>
                <c:pt idx="21">
                  <c:v>109.14327510443999</c:v>
                </c:pt>
                <c:pt idx="22">
                  <c:v>110.659283562977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D1B-49F1-AECD-5ADD4D6FF497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Datos!$P$27:$P$49</c:f>
              <c:numCache>
                <c:formatCode>0.0</c:formatCode>
                <c:ptCount val="23"/>
                <c:pt idx="0">
                  <c:v>96.748477952381606</c:v>
                </c:pt>
                <c:pt idx="1">
                  <c:v>97.874779349936603</c:v>
                </c:pt>
                <c:pt idx="2">
                  <c:v>99.6410388640832</c:v>
                </c:pt>
                <c:pt idx="3">
                  <c:v>100.118436283786</c:v>
                </c:pt>
                <c:pt idx="4">
                  <c:v>99.143615751761004</c:v>
                </c:pt>
                <c:pt idx="5">
                  <c:v>98.135953796378402</c:v>
                </c:pt>
                <c:pt idx="6">
                  <c:v>97.701051009242605</c:v>
                </c:pt>
                <c:pt idx="7">
                  <c:v>98.378813805933106</c:v>
                </c:pt>
                <c:pt idx="8">
                  <c:v>99.759978999439198</c:v>
                </c:pt>
                <c:pt idx="9">
                  <c:v>100.147332475661</c:v>
                </c:pt>
                <c:pt idx="10">
                  <c:v>100.02187112313899</c:v>
                </c:pt>
                <c:pt idx="11">
                  <c:v>101.045634850387</c:v>
                </c:pt>
                <c:pt idx="12">
                  <c:v>103.55889062076299</c:v>
                </c:pt>
                <c:pt idx="13">
                  <c:v>106.023870992261</c:v>
                </c:pt>
                <c:pt idx="14">
                  <c:v>106.983750591142</c:v>
                </c:pt>
                <c:pt idx="15">
                  <c:v>106.758833092451</c:v>
                </c:pt>
                <c:pt idx="16">
                  <c:v>106.391102087197</c:v>
                </c:pt>
                <c:pt idx="17">
                  <c:v>106.563383370056</c:v>
                </c:pt>
                <c:pt idx="18">
                  <c:v>107.68590286223299</c:v>
                </c:pt>
                <c:pt idx="19">
                  <c:v>108.69225445038801</c:v>
                </c:pt>
                <c:pt idx="20">
                  <c:v>108.718511437641</c:v>
                </c:pt>
                <c:pt idx="21">
                  <c:v>109.234236583461</c:v>
                </c:pt>
                <c:pt idx="22">
                  <c:v>110.472516129304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D1B-49F1-AECD-5ADD4D6FF49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91614352"/>
        <c:axId val="191617880"/>
      </c:lineChart>
      <c:catAx>
        <c:axId val="19161435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617880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191617880"/>
        <c:scaling>
          <c:orientation val="minMax"/>
          <c:max val="113"/>
          <c:min val="8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614352"/>
        <c:crosses val="autoZero"/>
        <c:crossBetween val="between"/>
        <c:majorUnit val="10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1718888888888885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Datos!$Q$27:$Q$49</c:f>
              <c:numCache>
                <c:formatCode>0.0</c:formatCode>
                <c:ptCount val="23"/>
                <c:pt idx="0">
                  <c:v>102.22286378149801</c:v>
                </c:pt>
                <c:pt idx="1">
                  <c:v>102.07925331768099</c:v>
                </c:pt>
                <c:pt idx="2">
                  <c:v>100.99332835943</c:v>
                </c:pt>
                <c:pt idx="3">
                  <c:v>101.657518298938</c:v>
                </c:pt>
                <c:pt idx="4">
                  <c:v>101.711119313148</c:v>
                </c:pt>
                <c:pt idx="5">
                  <c:v>83.936383354819199</c:v>
                </c:pt>
                <c:pt idx="6">
                  <c:v>96.787819977310505</c:v>
                </c:pt>
                <c:pt idx="7">
                  <c:v>97.985592744288397</c:v>
                </c:pt>
                <c:pt idx="8">
                  <c:v>98.517459636612699</c:v>
                </c:pt>
                <c:pt idx="9">
                  <c:v>98.881766119965206</c:v>
                </c:pt>
                <c:pt idx="10">
                  <c:v>99.078351991007594</c:v>
                </c:pt>
                <c:pt idx="11">
                  <c:v>100.35246116694201</c:v>
                </c:pt>
                <c:pt idx="12">
                  <c:v>104.020282225125</c:v>
                </c:pt>
                <c:pt idx="13">
                  <c:v>106.650562471377</c:v>
                </c:pt>
                <c:pt idx="14">
                  <c:v>107.65750532718801</c:v>
                </c:pt>
                <c:pt idx="15">
                  <c:v>108.114989916921</c:v>
                </c:pt>
                <c:pt idx="16">
                  <c:v>109.731171161779</c:v>
                </c:pt>
                <c:pt idx="17">
                  <c:v>109.32562527866401</c:v>
                </c:pt>
                <c:pt idx="18">
                  <c:v>110.598810986445</c:v>
                </c:pt>
                <c:pt idx="19">
                  <c:v>109.94198384414899</c:v>
                </c:pt>
                <c:pt idx="20">
                  <c:v>110.089073970304</c:v>
                </c:pt>
                <c:pt idx="21">
                  <c:v>110.701964102723</c:v>
                </c:pt>
                <c:pt idx="22">
                  <c:v>112.170346660117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45E-466A-A57F-D681346CB353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Datos!$R$27:$R$49</c:f>
              <c:numCache>
                <c:formatCode>0.0</c:formatCode>
                <c:ptCount val="23"/>
                <c:pt idx="0">
                  <c:v>102.32327476002401</c:v>
                </c:pt>
                <c:pt idx="1">
                  <c:v>101.91720725428</c:v>
                </c:pt>
                <c:pt idx="2">
                  <c:v>101.516580931174</c:v>
                </c:pt>
                <c:pt idx="3">
                  <c:v>101.475260998138</c:v>
                </c:pt>
                <c:pt idx="4">
                  <c:v>101.81802779003</c:v>
                </c:pt>
                <c:pt idx="5">
                  <c:v>96.031401605098793</c:v>
                </c:pt>
                <c:pt idx="6">
                  <c:v>96.905860387125301</c:v>
                </c:pt>
                <c:pt idx="7">
                  <c:v>97.862741887118304</c:v>
                </c:pt>
                <c:pt idx="8">
                  <c:v>98.554063199722606</c:v>
                </c:pt>
                <c:pt idx="9">
                  <c:v>98.790320362862602</c:v>
                </c:pt>
                <c:pt idx="10">
                  <c:v>99.073142767709598</c:v>
                </c:pt>
                <c:pt idx="11">
                  <c:v>100.70104951205499</c:v>
                </c:pt>
                <c:pt idx="12">
                  <c:v>103.81135013271501</c:v>
                </c:pt>
                <c:pt idx="13">
                  <c:v>106.528698171515</c:v>
                </c:pt>
                <c:pt idx="14">
                  <c:v>107.641498013138</c:v>
                </c:pt>
                <c:pt idx="15">
                  <c:v>108.33178679840699</c:v>
                </c:pt>
                <c:pt idx="16">
                  <c:v>109.09534431094799</c:v>
                </c:pt>
                <c:pt idx="17">
                  <c:v>109.800743513383</c:v>
                </c:pt>
                <c:pt idx="18">
                  <c:v>110.070129240567</c:v>
                </c:pt>
                <c:pt idx="19">
                  <c:v>110.056783654776</c:v>
                </c:pt>
                <c:pt idx="20">
                  <c:v>110.05835263370901</c:v>
                </c:pt>
                <c:pt idx="21">
                  <c:v>110.811439104168</c:v>
                </c:pt>
                <c:pt idx="22">
                  <c:v>112.142749481148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45E-466A-A57F-D681346CB35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91619448"/>
        <c:axId val="191616312"/>
      </c:lineChart>
      <c:catAx>
        <c:axId val="19161944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616312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191616312"/>
        <c:scaling>
          <c:orientation val="minMax"/>
          <c:max val="115"/>
          <c:min val="8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619448"/>
        <c:crosses val="autoZero"/>
        <c:crossBetween val="between"/>
        <c:majorUnit val="10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9686117204399E-2"/>
          <c:y val="4.3165229012566975E-2"/>
          <c:w val="0.90581803245737891"/>
          <c:h val="0.81506388888888903"/>
        </c:manualLayout>
      </c:layout>
      <c:lineChart>
        <c:grouping val="standard"/>
        <c:varyColors val="0"/>
        <c:ser>
          <c:idx val="0"/>
          <c:order val="0"/>
          <c:tx>
            <c:strRef>
              <c:f>Datos!$C$5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ln w="15875">
              <a:solidFill>
                <a:srgbClr val="08989C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Datos!$S$27:$S$49</c:f>
              <c:numCache>
                <c:formatCode>0.0</c:formatCode>
                <c:ptCount val="23"/>
                <c:pt idx="0">
                  <c:v>100.556518840647</c:v>
                </c:pt>
                <c:pt idx="1">
                  <c:v>98.904745331910505</c:v>
                </c:pt>
                <c:pt idx="2">
                  <c:v>100.329373014974</c:v>
                </c:pt>
                <c:pt idx="3">
                  <c:v>99.099123926184006</c:v>
                </c:pt>
                <c:pt idx="4">
                  <c:v>95.214541812793996</c:v>
                </c:pt>
                <c:pt idx="5">
                  <c:v>78.712775582952702</c:v>
                </c:pt>
                <c:pt idx="6">
                  <c:v>89.440937476040006</c:v>
                </c:pt>
                <c:pt idx="7">
                  <c:v>94.610473081536995</c:v>
                </c:pt>
                <c:pt idx="8">
                  <c:v>96.5643357837873</c:v>
                </c:pt>
                <c:pt idx="9">
                  <c:v>96.505733191702205</c:v>
                </c:pt>
                <c:pt idx="10">
                  <c:v>92.919077127548306</c:v>
                </c:pt>
                <c:pt idx="11">
                  <c:v>93.327214126091903</c:v>
                </c:pt>
                <c:pt idx="12">
                  <c:v>96.8354003280961</c:v>
                </c:pt>
                <c:pt idx="13">
                  <c:v>97.913864075321698</c:v>
                </c:pt>
                <c:pt idx="14">
                  <c:v>98.893055840077693</c:v>
                </c:pt>
                <c:pt idx="15">
                  <c:v>100.969769617935</c:v>
                </c:pt>
                <c:pt idx="16">
                  <c:v>101.24079768029</c:v>
                </c:pt>
                <c:pt idx="17">
                  <c:v>103.57120375231</c:v>
                </c:pt>
                <c:pt idx="18">
                  <c:v>104.166739608434</c:v>
                </c:pt>
                <c:pt idx="19">
                  <c:v>102.39280737586</c:v>
                </c:pt>
                <c:pt idx="20">
                  <c:v>103.84562031374</c:v>
                </c:pt>
                <c:pt idx="21">
                  <c:v>103.36794862344701</c:v>
                </c:pt>
                <c:pt idx="22">
                  <c:v>105.18637059462699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4F2-44E4-B351-D45ECBD03B65}"/>
            </c:ext>
          </c:extLst>
        </c:ser>
        <c:ser>
          <c:idx val="1"/>
          <c:order val="1"/>
          <c:tx>
            <c:strRef>
              <c:f>Datos!$D$5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2700">
              <a:solidFill>
                <a:srgbClr val="003057"/>
              </a:solidFill>
              <a:prstDash val="solid"/>
            </a:ln>
          </c:spPr>
          <c:marker>
            <c:symbol val="none"/>
          </c:marker>
          <c:dLbls>
            <c:delete val="1"/>
          </c:dLbls>
          <c:cat>
            <c:numRef>
              <c:f>Datos!$A$27:$A$49</c:f>
              <c:numCache>
                <c:formatCode>General</c:formatCode>
                <c:ptCount val="23"/>
                <c:pt idx="0">
                  <c:v>2019</c:v>
                </c:pt>
                <c:pt idx="4">
                  <c:v>2020</c:v>
                </c:pt>
                <c:pt idx="8">
                  <c:v>2021</c:v>
                </c:pt>
                <c:pt idx="12">
                  <c:v>2022</c:v>
                </c:pt>
                <c:pt idx="16">
                  <c:v>2023</c:v>
                </c:pt>
                <c:pt idx="20">
                  <c:v>2024</c:v>
                </c:pt>
              </c:numCache>
            </c:numRef>
          </c:cat>
          <c:val>
            <c:numRef>
              <c:f>Datos!$T$27:$T$49</c:f>
              <c:numCache>
                <c:formatCode>0.0</c:formatCode>
                <c:ptCount val="23"/>
                <c:pt idx="0">
                  <c:v>100.465774777267</c:v>
                </c:pt>
                <c:pt idx="1">
                  <c:v>99.718769356904701</c:v>
                </c:pt>
                <c:pt idx="2">
                  <c:v>99.972974264394196</c:v>
                </c:pt>
                <c:pt idx="3">
                  <c:v>98.633035626587599</c:v>
                </c:pt>
                <c:pt idx="4">
                  <c:v>95.890103221018805</c:v>
                </c:pt>
                <c:pt idx="5">
                  <c:v>94.621478618610794</c:v>
                </c:pt>
                <c:pt idx="6">
                  <c:v>94.583808676493504</c:v>
                </c:pt>
                <c:pt idx="7">
                  <c:v>95.096306274583398</c:v>
                </c:pt>
                <c:pt idx="8">
                  <c:v>96.328079995775596</c:v>
                </c:pt>
                <c:pt idx="9">
                  <c:v>95.760875154110906</c:v>
                </c:pt>
                <c:pt idx="10">
                  <c:v>93.494523654244304</c:v>
                </c:pt>
                <c:pt idx="11">
                  <c:v>93.678205408220606</c:v>
                </c:pt>
                <c:pt idx="12">
                  <c:v>96.258251150678205</c:v>
                </c:pt>
                <c:pt idx="13">
                  <c:v>97.997104585851403</c:v>
                </c:pt>
                <c:pt idx="14">
                  <c:v>99.194104917726904</c:v>
                </c:pt>
                <c:pt idx="15">
                  <c:v>100.472798637064</c:v>
                </c:pt>
                <c:pt idx="16">
                  <c:v>101.803194711637</c:v>
                </c:pt>
                <c:pt idx="17">
                  <c:v>103.280568656178</c:v>
                </c:pt>
                <c:pt idx="18">
                  <c:v>103.943763687361</c:v>
                </c:pt>
                <c:pt idx="19">
                  <c:v>103.629121928348</c:v>
                </c:pt>
                <c:pt idx="20">
                  <c:v>103.39113063014</c:v>
                </c:pt>
                <c:pt idx="21">
                  <c:v>103.82768144186601</c:v>
                </c:pt>
                <c:pt idx="22">
                  <c:v>105.021324312812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4F2-44E4-B351-D45ECBD03B6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91616704"/>
        <c:axId val="191613176"/>
      </c:lineChart>
      <c:catAx>
        <c:axId val="19161670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9525">
            <a:solidFill>
              <a:srgbClr val="DB551E"/>
            </a:solidFill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613176"/>
        <c:crossesAt val="100"/>
        <c:auto val="1"/>
        <c:lblAlgn val="ctr"/>
        <c:lblOffset val="100"/>
        <c:tickLblSkip val="1"/>
        <c:tickMarkSkip val="4"/>
        <c:noMultiLvlLbl val="1"/>
      </c:catAx>
      <c:valAx>
        <c:axId val="191613176"/>
        <c:scaling>
          <c:orientation val="minMax"/>
          <c:max val="110"/>
          <c:min val="7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lang="es-MX" sz="700" b="0" i="0" u="none" strike="noStrike" baseline="0">
                <a:solidFill>
                  <a:srgbClr val="4D565E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91616704"/>
        <c:crosses val="autoZero"/>
        <c:crossBetween val="between"/>
        <c:majorUnit val="10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noFill/>
    <a:ln w="317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0.71227</cdr:x>
      <cdr:y>0.57879</cdr:y>
    </cdr:from>
    <cdr:to>
      <cdr:x>0.80128</cdr:x>
      <cdr:y>0.76344</cdr:y>
    </cdr:to>
    <cdr:sp macro="" textlink="">
      <cdr:nvSpPr>
        <cdr:cNvPr id="2" name="CuadroTexto 1"/>
        <cdr:cNvSpPr txBox="1"/>
      </cdr:nvSpPr>
      <cdr:spPr>
        <a:xfrm xmlns:a="http://schemas.openxmlformats.org/drawingml/2006/main">
          <a:off x="1974424" y="2085720"/>
          <a:ext cx="246732" cy="6654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s-MX" sz="11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D770DDCF9CD41A9B9A4B2239C60DC" ma:contentTypeVersion="13" ma:contentTypeDescription="Create a new document." ma:contentTypeScope="" ma:versionID="2f855a811c4afa3cb649e08ca49cb847">
  <xsd:schema xmlns:xsd="http://www.w3.org/2001/XMLSchema" xmlns:xs="http://www.w3.org/2001/XMLSchema" xmlns:p="http://schemas.microsoft.com/office/2006/metadata/properties" xmlns:ns3="9cbc5179-7b32-4f77-96d5-cb42cf21e26f" xmlns:ns4="b1de951f-ce81-44a5-9543-8b187aa8e16b" targetNamespace="http://schemas.microsoft.com/office/2006/metadata/properties" ma:root="true" ma:fieldsID="3fe4f911d9523874b1b6ff5eb3c40ff9" ns3:_="" ns4:_="">
    <xsd:import namespace="9cbc5179-7b32-4f77-96d5-cb42cf21e26f"/>
    <xsd:import namespace="b1de951f-ce81-44a5-9543-8b187aa8e1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c5179-7b32-4f77-96d5-cb42cf21e2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e951f-ce81-44a5-9543-8b187aa8e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de951f-ce81-44a5-9543-8b187aa8e1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1B76D-B909-4141-A56D-EF6FAC9C9C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8BD7B-CB76-46E7-AAD8-83D0F33DE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c5179-7b32-4f77-96d5-cb42cf21e26f"/>
    <ds:schemaRef ds:uri="b1de951f-ce81-44a5-9543-8b187aa8e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76549-8141-493E-8581-99FBE2A07055}">
  <ds:schemaRefs>
    <ds:schemaRef ds:uri="http://schemas.microsoft.com/office/2006/metadata/properties"/>
    <ds:schemaRef ds:uri="http://schemas.microsoft.com/office/infopath/2007/PartnerControls"/>
    <ds:schemaRef ds:uri="b1de951f-ce81-44a5-9543-8b187aa8e16b"/>
  </ds:schemaRefs>
</ds:datastoreItem>
</file>

<file path=customXml/itemProps4.xml><?xml version="1.0" encoding="utf-8"?>
<ds:datastoreItem xmlns:ds="http://schemas.openxmlformats.org/officeDocument/2006/customXml" ds:itemID="{A961E3AB-ACD0-4968-82D0-A6116F0E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oficial Boletín-Prensa</Template>
  <TotalTime>9</TotalTime>
  <Pages>12</Pages>
  <Words>1824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 Trimestral de la Actividad Económica Estatal</vt:lpstr>
    </vt:vector>
  </TitlesOfParts>
  <Manager>INEGI</Manager>
  <Company>INEGI</Company>
  <LinksUpToDate>false</LinksUpToDate>
  <CharactersWithSpaces>11839</CharactersWithSpaces>
  <SharedDoc>false</SharedDoc>
  <HLinks>
    <vt:vector size="12" baseType="variant">
      <vt:variant>
        <vt:i4>393307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https://www.inegi.org.mx/programas/inpc/2018/</vt:lpwstr>
      </vt:variant>
      <vt:variant>
        <vt:lpwstr/>
      </vt:variant>
      <vt:variant>
        <vt:i4>1572955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https://www.inegi.org.mx/programas/inpc/2018/default.html</vt:lpwstr>
      </vt:variant>
      <vt:variant>
        <vt:lpwstr>Herramientas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 Trimestral de la Actividad Económica Estatal</dc:title>
  <dc:subject>Indicador Trimestral de la Actividad Económica Estatal</dc:subject>
  <dc:creator>INEGI</dc:creator>
  <cp:keywords>SCNM</cp:keywords>
  <dc:description/>
  <cp:lastModifiedBy>GUILLEN MEDINA MOISES</cp:lastModifiedBy>
  <cp:revision>6</cp:revision>
  <cp:lastPrinted>2025-01-28T18:03:00Z</cp:lastPrinted>
  <dcterms:created xsi:type="dcterms:W3CDTF">2025-01-28T18:04:00Z</dcterms:created>
  <dcterms:modified xsi:type="dcterms:W3CDTF">2025-02-21T16:59:00Z</dcterms:modified>
  <cp:category>Indicador Trimestral de la Actividad Económica Estatal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0x0101000F0D770DDCF9CD41A9B9A4B2239C60DC</vt:lpwstr>
  </property>
</Properties>
</file>